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105 GG</w:t>
      </w:r>
    </w:p>
    <w:p>
      <w:r>
        <w:rPr>
          <w:color w:val="555555"/>
          <w:sz w:val="18"/>
        </w:rPr>
        <w:t xml:space="preserve">Grundgesetz für die Bundesrepublik Deutschland</w:t>
      </w:r>
    </w:p>
    <w:p>
      <w:r>
        <w:rPr>
          <w:color w:val="555555"/>
          <w:sz w:val="18"/>
        </w:rPr>
        <w:t xml:space="preserve">Stand: 24.11.2019 (konsolidierte Textfassung, kein amtliches Inkrafttretensdatum)</w:t>
      </w:r>
    </w:p>
    <w:p>
      <w:r>
        <w:t xml:space="preserve">(1) Der Bund hat die ausschließliche Gesetzgebung über die Zölle und Finanzmonopole.</w:t>
      </w:r>
    </w:p>
    <w:p>
      <w:r>
        <w:t xml:space="preserve">(2) Der Bund hat die konkurrierende Gesetzgebung über die Grundsteuer. Er hat die konkurrierende Gesetzgebung über die übrigen Steuern, wenn ihm das Aufkommen dieser Steuern ganz oder zum Teil zusteht oder die Voraussetzungen des Artikels 72 Abs. 2 vorliegen.</w:t>
      </w:r>
    </w:p>
    <w:p>
      <w:r>
        <w:t xml:space="preserve">(2a) Die Länder haben die Befugnis zur Gesetzgebung über die örtlichen Verbrauch- und Aufwandsteuern, solange und soweit sie nicht bundesgesetzlich geregelten Steuern gleichartig sind. Sie haben die Befugnis zur Bestimmung des Steuersatzes bei der Grunderwerbsteuer.</w:t>
      </w:r>
    </w:p>
    <w:p>
      <w:r>
        <w:t xml:space="preserve">(3) Bundesgesetze über Steuern, deren Aufkommen den Ländern oder den Gemeinden (Gemeindeverbänden) ganz oder zum Teil zufließt, bedürfen der Zustimmung des Bundesrates.</w:t>
      </w:r>
    </w:p>
    <w:p>
      <w:r>
        <w:rPr>
          <w:color w:val="555555"/>
          <w:sz w:val="17"/>
        </w:rPr>
        <w:t xml:space="preserve">Zitiervorschlag: Art 105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