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103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Gericht hat jedermann Anspruch auf rechtliches Gehör.</w:t>
      </w:r>
    </w:p>
    <w:p>
      <w:r>
        <w:t xml:space="preserve">(2) Eine Tat kann nur bestraft werden, wenn die Strafbarkeit gesetzlich bestimmt war, bevor die Tat begangen wurde.</w:t>
      </w:r>
    </w:p>
    <w:p>
      <w:r>
        <w:t xml:space="preserve">(3) Niemand darf wegen derselben Tat auf Grund der allgemeinen Strafgesetze mehrmals bestraft werden.</w:t>
      </w:r>
    </w:p>
    <w:p>
      <w:r>
        <w:rPr>
          <w:color w:val="555555"/>
          <w:sz w:val="17"/>
        </w:rPr>
        <w:t xml:space="preserve">Zitiervorschlag: Art 103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