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GG</w:t>
      </w:r>
    </w:p>
    <w:p>
      <w:r>
        <w:rPr>
          <w:color w:val="555555"/>
          <w:sz w:val="18"/>
        </w:rPr>
        <w:t xml:space="preserve">Grundgesetz für die Bundesrepublik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Würde des Menschen ist unantastbar. Sie zu achten und zu schützen ist Verpflichtung aller staatlichen Gewalt.</w:t>
      </w:r>
    </w:p>
    <w:p>
      <w:r>
        <w:t xml:space="preserve">(2) Das Deutsche Volk bekennt sich darum zu unverletzlichen und unveräußerlichen Menschenrechten als Grundlage jeder menschlichen Gemeinschaft, des Friedens und der Gerechtigkeit in der Welt.</w:t>
      </w:r>
    </w:p>
    <w:p>
      <w:r>
        <w:t xml:space="preserve">(3) Die nachfolgenden Grundrechte binden Gesetzgebung, vollziehende Gewalt und Rechtsprechung als unmittelbar geltendes Recht.</w:t>
      </w:r>
    </w:p>
    <w:p>
      <w:r>
        <w:rPr>
          <w:color w:val="555555"/>
          <w:sz w:val="17"/>
        </w:rPr>
        <w:t xml:space="preserve">Zitiervorschlag: Art 1 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