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8b GFlFleischV — Datenverarbeitung und Datenübermittlung</w:t>
      </w:r>
    </w:p>
    <w:p>
      <w:r>
        <w:rPr>
          <w:color w:val="555555"/>
          <w:sz w:val="18"/>
        </w:rPr>
        <w:t xml:space="preserve">Verordnung über Vermarktungsnormen für Geflügelfleisch</w:t>
      </w:r>
    </w:p>
    <w:p>
      <w:r>
        <w:rPr>
          <w:color w:val="555555"/>
          <w:sz w:val="18"/>
        </w:rPr>
        <w:t xml:space="preserve">Stand: 22.03.2022 (konsolidierte Textfassung, kein amtliches Inkrafttretensdatum)</w:t>
      </w:r>
    </w:p>
    <w:p>
      <w:r>
        <w:t xml:space="preserve">Zum Zweck der Durchführung von Kontrollen verarbeitet und übermittelt die zuständige Behörde die Daten nach Abschnitt III der Anlage des Marktorganisationsgesetzes.</w:t>
      </w:r>
    </w:p>
    <w:p>
      <w:r>
        <w:rPr>
          <w:color w:val="555555"/>
          <w:sz w:val="17"/>
        </w:rPr>
        <w:t xml:space="preserve">Zitiervorschlag: § 8b GFlFleischV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https://recht.nulegal.eu/gesetze/GFlFleischV/8b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