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GFlFleischV — Analyseverfahren zur Feststellung des Wassergehaltes, Gegenanalyse</w:t>
      </w:r>
    </w:p>
    <w:p>
      <w:r>
        <w:rPr>
          <w:color w:val="555555"/>
          <w:sz w:val="18"/>
        </w:rPr>
        <w:t xml:space="preserve">Verordnung über Vermarktungsnormen für Geflügelfleisch</w:t>
      </w:r>
    </w:p>
    <w:p>
      <w:r>
        <w:rPr>
          <w:color w:val="555555"/>
          <w:sz w:val="18"/>
        </w:rPr>
        <w:t xml:space="preserve">Stand: 10.06.2019 (konsolidierte Textfassung, kein amtliches Inkrafttretensdatum)</w:t>
      </w:r>
    </w:p>
    <w:p>
      <w:r>
        <w:t xml:space="preserve">(1) Für die Kontrollen des Wassergehaltes gefrorener oder tiefgefrorener Hähnchen nach Artikel 16 Absatz 2 der Verordnung (EG) Nr. 543/2008 wird das Verfahren nach Anhang VI der Verordnung (EG) Nr. 543/2008 (Drip-Verfahren) bestimmt.</w:t>
      </w:r>
    </w:p>
    <w:p>
      <w:r>
        <w:t xml:space="preserve">(2) Überschreiten die Ergebnisse der Kontrollen bei gefrorenen oder tiefgefrorenen Hähnchen die nach Artikel 15 Absatz 1 oder bei Geflügelteilstücken die nach Artikel 20 Absatz 1 der Verordnung (EG) Nr. 543/2008 zulässigen Grenzwerte, so kann der Besitzer des Loses eine Gegenanalyse nach demselben Verfahren wie für die ursprüngliche Kontrolle im Referenzlaboratorium verlangen. Die Kosten dieser Gegenanalyse sind vom Besitzer des Loses zu tragen.</w:t>
      </w:r>
    </w:p>
    <w:p>
      <w:r>
        <w:rPr>
          <w:color w:val="555555"/>
          <w:sz w:val="17"/>
        </w:rPr>
        <w:t xml:space="preserve">Zitiervorschlag: § 7 GFlFleischV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https://recht.nulegal.eu/gesetze/GFlFleischV/7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