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GFlFleischV — Vorschriften für Geflügelerzeuger</w:t>
      </w:r>
    </w:p>
    <w:p>
      <w:r>
        <w:rPr>
          <w:color w:val="555555"/>
          <w:sz w:val="18"/>
        </w:rPr>
        <w:t xml:space="preserve">Verordnung über Vermarktungsnormen für Geflügelfleisch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(1) Geflügelerzeuger, die Geflügel unter Verwendung der in Artikel 11 Absatz 1 Unterabsatz 1 Satz 1 der Verordnung (EG) Nr. 543/2008 festgelegten Begriffe vermarkten oder in Verkehr bringen, müssen über eine behördliche Zulassung verfügen.</w:t>
      </w:r>
    </w:p>
    <w:p>
      <w:r>
        <w:t xml:space="preserve">(2) Die Zulassung ist auf Antrag durch die nach Landesrecht zuständige Behörde zu erteilen, wenn im Rahmen einer Vor-Ort-Überprüfung festgestellt wurde, dass der Geflügelerzeuger die in Anhang V der Verordnung (EG) Nr. 543/2008 für die jeweilige Haltungsform festgelegten Haltungsvoraussetzungen erfüllt.</w:t>
      </w:r>
    </w:p>
    <w:p>
      <w:r>
        <w:rPr>
          <w:color w:val="555555"/>
          <w:sz w:val="17"/>
        </w:rPr>
        <w:t xml:space="preserve">Zitiervorschlag: § 6a GFlFleischV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https://recht.nulegal.eu/gesetze/GFlFleischV/6a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