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GFlFleischV — Vorschriften für Schlachthöfe und Zerlegungsbetriebe</w:t>
      </w:r>
    </w:p>
    <w:p>
      <w:r>
        <w:rPr>
          <w:color w:val="555555"/>
          <w:sz w:val="18"/>
        </w:rPr>
        <w:t xml:space="preserve">Verordnung über Vermarktungsnormen für Geflügelfleisch</w:t>
      </w:r>
    </w:p>
    <w:p>
      <w:r>
        <w:rPr>
          <w:color w:val="555555"/>
          <w:sz w:val="18"/>
        </w:rPr>
        <w:t xml:space="preserve">Stand: 10.06.2019 (konsolidierte Textfassung, kein amtliches Inkrafttretensdatum)</w:t>
      </w:r>
    </w:p>
    <w:p>
      <w:r>
        <w:t xml:space="preserve">(1) Jedes Los im Sinne des Artikels 2 Buchstabe f der Verordnung (EG) Nr. 543/2008 ist von dem Schlachthof und Zerlegungsbetrieb unverzüglich so zu kennzeichnen, dass das Herstellungsdatum festgestellt werden kann. Diese Loskennzeichnung muss von dem Schlachthof und Zerlegungsbetrieb in einem Herstellungsprotokoll unverzüglich aufgeführt werden. Dieses Herstellungsprotokoll ist bis zum Ende des Jahres aufzubewahren, das auf das Jahr der Erstellung des Protokolls folgt.</w:t>
      </w:r>
    </w:p>
    <w:p>
      <w:r>
        <w:t xml:space="preserve">(2) Der Schlachthof hat ein Register zu führen, in dem die Ergebnisse der Einzelwerte der einzeln kontrollierten Schlachtkörper nach Artikel 16 Absatz 1 Unterabsatz 1 der Verordnung (EG) Nr. 543/2008 festzuhalten sind. Die Ergebnisse der Kontrollen müssen in dem Register bis zum Ende des Jahres festgehalten sein, das auf das Jahr der jeweiligen Feststellung folgt.</w:t>
      </w:r>
    </w:p>
    <w:p>
      <w:r>
        <w:t xml:space="preserve">(3) Lose oder Bestandteile von Losen im Sinne des Artikels 2 Buchstabe f der Verordnung (EG) Nr. 543/2008, denen eine Stichprobe nach Artikel 16 Absatz 2 und Artikel 20 Absatz 3 der Verordnung (EG) Nr. 543/2008 entnommen worden ist, dürfen von dem Verfügungsberechtigten des Loses bis zum Abschluss des Kontrollverfahrens nicht vermarktet werden. Die für die Kontrolle zuständige Behörde veranlasst unverzüglich die erforderliche Untersuchung der entnommenen Stichprobe und unterrichtet den Verfügungsberechtigten des Loses unverzüglich von dem Kontrollergebnis.</w:t>
      </w:r>
    </w:p>
    <w:p>
      <w:r>
        <w:t xml:space="preserve">(4) Zum Zwecke der Durchführung der Kontrollen in Bezug auf die Kennzeichnung von Geflügelfleisch und den Fremdwassergehalt von Geflügelfleisch verarbeitet die zuständige Behörde die Daten gemäß Abschnitt III der Anlage des Marktorganisationsgesetzes.</w:t>
      </w:r>
    </w:p>
    <w:p>
      <w:r>
        <w:rPr>
          <w:color w:val="555555"/>
          <w:sz w:val="17"/>
        </w:rPr>
        <w:t xml:space="preserve">Zitiervorschlag: § 6 GFlFleischV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https://recht.nulegal.eu/gesetze/GFlFleischV/6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