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GFlFleischV — Marktnotierungen</w:t>
      </w:r>
    </w:p>
    <w:p>
      <w:r>
        <w:rPr>
          <w:color w:val="555555"/>
          <w:sz w:val="18"/>
        </w:rPr>
        <w:t xml:space="preserve">Verordnung über Vermarktungsnormen für Geflügelfleisch</w:t>
      </w:r>
    </w:p>
    <w:p>
      <w:r>
        <w:rPr>
          <w:color w:val="555555"/>
          <w:sz w:val="18"/>
        </w:rPr>
        <w:t xml:space="preserve">Stand: 10.06.2019 (konsolidierte Textfassung, kein amtliches Inkrafttretensdatum)</w:t>
      </w:r>
    </w:p>
    <w:p>
      <w:r>
        <w:t xml:space="preserve">Börsen, Verwaltungen öffentlicher Märkte und sonstige Stellen, die amtliche oder für gesetzlich vorgesehene Zwecke bestimmte Preisnotierungen oder Preisfeststellungen für Geflügelfleisch vornehmen, sind verpflichtet, ihren Notierungen oder Feststellungen die Handelsklassen nach Anhang XIV Teil B Abschnitt III Nummer 1 der Verordnung (EG) Nr. 1234/2007 zugrunde zu legen.</w:t>
      </w:r>
    </w:p>
    <w:p>
      <w:r>
        <w:rPr>
          <w:color w:val="555555"/>
          <w:sz w:val="17"/>
        </w:rPr>
        <w:t xml:space="preserve">Zitiervorschlag: § 5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