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GFlFleischV — Kennzeichnung von Geflügelfleisch</w:t>
      </w:r>
    </w:p>
    <w:p>
      <w:r>
        <w:rPr>
          <w:color w:val="555555"/>
          <w:sz w:val="18"/>
        </w:rPr>
        <w:t xml:space="preserve">Verordnung über Vermarktungsnormen für Geflügelfleisch</w:t>
      </w:r>
    </w:p>
    <w:p>
      <w:r>
        <w:rPr>
          <w:color w:val="555555"/>
          <w:sz w:val="18"/>
        </w:rPr>
        <w:t xml:space="preserve">Stand: 10.06.2019 (konsolidierte Textfassung, kein amtliches Inkrafttretensdatum)</w:t>
      </w:r>
    </w:p>
    <w:p>
      <w:r>
        <w:t xml:space="preserve">(1) Nicht vorverpacktes Geflügelfleisch oder Geflügelfleisch, das auf Wunsch des Verbrauchers am Verkaufsort verpackt oder das in der Verkaufsstätte zur alsbaldigen Abgabe an den Verbraucher, jedoch nicht zur Selbstbedienung, vorverpackt wird, darf nur zum Verkauf vorrätig gehalten, angeboten, feilgehalten, geliefert, verkauft oder sonst in den Verkehr gebracht werden, wenn es mit den Angaben nach Artikel 5 Absatz 5 in Verbindung mit Absatz 4 der Verordnung (EG) Nr. 543/2008 nach Maßgabe des Absatzes 2 gekennzeichnet ist. Satz 1 gilt nicht für die Angabe des Gesamtpreises und nicht für die Zulassungsnummer des Schlacht- und Zerlegungsbetriebs. Der Verbraucher ist auf die Nachfragemöglichkeit in Bezug auf den Gesamtpreis und Zulassungsnummer des Schlacht- und Zerlegungsbetriebs in geeigneter Form hinzuweisen.</w:t>
      </w:r>
    </w:p>
    <w:p>
      <w:r>
        <w:t xml:space="preserve">(2) Die Angaben nach Absatz 1 sind auf einem Schild auf oder neben dem Geflügelfleisch oder auf der Verpackung oder einem daran befestigten Etikett gut sichtbar, in deutscher Sprache, leicht verständlich, deutlich lesbar und unverwischbar anzubringen. Die Angaben nach Satz 1 dürfen auch in einer anderen leicht verständlichen Sprache gemacht werden, wenn dadurch die Information des Verbrauchers nicht beeinträchtigt wird. Sie dürfen nicht durch andere Angaben oder Bildzeichen oder sonstiges eingefügtes Material verdeckt, undeutlich gemacht oder getrennt werden.</w:t>
      </w:r>
    </w:p>
    <w:p>
      <w:r>
        <w:rPr>
          <w:color w:val="555555"/>
          <w:sz w:val="17"/>
        </w:rPr>
        <w:t xml:space="preserve">Zitiervorschlag: § 4 GFlFleischV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https://recht.nulegal.eu/gesetze/GFlFleischV/4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