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GFlFleischV — Anwendungsbereich</w:t>
      </w:r>
    </w:p>
    <w:p>
      <w:r>
        <w:rPr>
          <w:color w:val="555555"/>
          <w:sz w:val="18"/>
        </w:rPr>
        <w:t xml:space="preserve">Verordnung über Vermarktungsnormen für Geflügelfleisch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dieser Verordnung gelten für die Durchführung der Rechtsakte der Europäischen Gemeinschaften oder der Europäischen Union über Vermarktungsnormen für Geflügelfleisch.</w:t>
      </w:r>
    </w:p>
    <w:p>
      <w:r>
        <w:rPr>
          <w:color w:val="555555"/>
          <w:sz w:val="17"/>
        </w:rPr>
        <w:t xml:space="preserve">Zitiervorschlag: § 1 GFlFleischV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https://recht.nulegal.eu/gesetze/GFlFleischV/1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