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GFRGDVO (Sachsen)</w:t>
      </w:r>
    </w:p>
    <w:p>
      <w:r>
        <w:rPr>
          <w:color w:val="555555"/>
          <w:sz w:val="18"/>
        </w:rPr>
        <w:t xml:space="preserve">Gemeindefinanzreformgesetz­durchführungsverordnung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</w:t>
      </w:r>
    </w:p>
    <w:p>
      <w:r>
        <w:t xml:space="preserve">– der §§ 2 und 4 Absatz 2, der §§ 5 und 5a Absatz 3 Satz 3, des § 5d Absatz 2 sowie des § 6 Absatz 8 des Gemeindefinanzreformgesetzes in der Fassung der Bekanntmachung vom 10. März 2009 (BGBl. I S. 502), von denen durch Artikel 3 Nummer 2 und 6 des Gesetzes vom 21. November 2016 (BGBl. I S. 2613) § 5a Absatz 3 Satz 3 eingefügt und § 5d Absatz 2 geändert sowie durch Artikel 4 Nummer 2 des Gesetzes vom 4. Dezember 2022 (BGBl. I S. 2142) § 6 Absatz 8 neu gefasst worden ist, in Verbindung mit § 1 der Zuständigkeitsübertragungsverordnung Gemeindefinanzreformgesetz vom 1. März 2018 (SächsGVBl. S. 41) und</w:t>
      </w:r>
    </w:p>
    <w:p>
      <w:r>
        <w:t xml:space="preserve">– des § 16 Absatz 1 Satz 2 Nummer 3 des Sächsischen Verwaltungsorganisationsgesetzes vom 25. November 2003 (SächsGVBl. S. 899), der durch Artikel 1 des Gesetzes vom 27. Januar 2012 (SächsGVBl. S. 130, 131) geändert worden ist,</w:t>
      </w:r>
    </w:p>
    <w:p>
      <w:r>
        <w:t xml:space="preserve">verordnet das Staatsministerium der Finanzen:</w:t>
      </w:r>
    </w:p>
    <w:p>
      <w:r>
        <w:rPr>
          <w:color w:val="555555"/>
          <w:sz w:val="17"/>
        </w:rPr>
        <w:t xml:space="preserve">Zitiervorschlag: Eingangsformel GFRGDVO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https://recht.nulegal.eu/gesetze/GFRGDVO/eingangsformel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