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GFRGDVO (Sachsen) — Inkrafttreten, Außerkrafttreten</w:t>
      </w:r>
    </w:p>
    <w:p>
      <w:r>
        <w:rPr>
          <w:color w:val="555555"/>
          <w:sz w:val="18"/>
        </w:rPr>
        <w:t xml:space="preserve">Gemeindefinanzreformgesetz­durchführungsverordnung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Diese Verordnung tritt mit Wirkung vom 1. Januar 2024 in Kraft. Gleichzeitig tritt die Gemeindefinanzreformgesetzdurchführungsverordnung vom 10. April 2018 (SächsGVBl. S. 176), die durch die Verordnung vom 27. Januar 2021 (SächsGVBl. S. 245) geändert worden ist, außer Kraft.</w:t>
      </w:r>
    </w:p>
    <w:p>
      <w:r>
        <w:t xml:space="preserve">Dresden, den 14. Februar 2024</w:t>
      </w:r>
    </w:p>
    <w:p>
      <w:r>
        <w:t xml:space="preserve">Der Staatsminister der Finanzen</w:t>
      </w:r>
    </w:p>
    <w:p>
      <w:r>
        <w:t xml:space="preserve">Hartmut Vorjohann</w:t>
      </w:r>
    </w:p>
    <w:p>
      <w:r>
        <w:rPr>
          <w:color w:val="555555"/>
          <w:sz w:val="17"/>
        </w:rPr>
        <w:t xml:space="preserve">Zitiervorschlag: § 8 GFRGDVO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https://recht.nulegal.eu/gesetze/GFRGDVO/8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