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GFRGDVO (Sachsen) — Übergangsbestimmungen</w:t>
      </w:r>
    </w:p>
    <w:p>
      <w:r>
        <w:rPr>
          <w:color w:val="555555"/>
          <w:sz w:val="18"/>
        </w:rPr>
        <w:t xml:space="preserve">Gemeindefinanzreformgesetz­durchführungsverordnung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Soweit Steueraufkommen des Jahres 2023 auf die Gemeinden aufzuteilen ist, gelten § 1 Absatz 1 und § 2 Absatz 1 mit der Maßgabe, dass die Aufteilung nach den Anlagen 1 und 2 dieser Verordnung in der bis zum 31. Dezember 2023 geltenden Fassung erfolgt.</w:t>
      </w:r>
    </w:p>
    <w:p>
      <w:r>
        <w:rPr>
          <w:color w:val="555555"/>
          <w:sz w:val="17"/>
        </w:rPr>
        <w:t xml:space="preserve">Zitiervorschlag: § 7 GFRGDVO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https://recht.nulegal.eu/gesetze/GFRGDVO/7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