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GFRGDVO (Sachsen) — Berichtigung bei fehlerhaftem Verteilungsschlüssel</w:t>
      </w:r>
    </w:p>
    <w:p>
      <w:r>
        <w:rPr>
          <w:color w:val="555555"/>
          <w:sz w:val="18"/>
        </w:rPr>
        <w:t xml:space="preserve">Gemeindefinanzreformgesetz­durchführungsverordnung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Ausgleich nach § 4 Absatz 1 des Gemeindefinanzreformgesetzes unterbleibt, wenn er zu einer Änderung des jährlichen Zahlbetrages von nicht mehr als 500 Euro führen würde.</w:t>
      </w:r>
    </w:p>
    <w:p>
      <w:r>
        <w:rPr>
          <w:color w:val="555555"/>
          <w:sz w:val="17"/>
        </w:rPr>
        <w:t xml:space="preserve">Zitiervorschlag: § 3 GFRGDVO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https://recht.nulegal.eu/gesetze/GFRGDVO/3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