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GFRGDVO (Sachsen) — Verteilungsschlüssel für den Gemeindeanteil an der Umsatzsteuer</w:t>
      </w:r>
    </w:p>
    <w:p>
      <w:r>
        <w:rPr>
          <w:color w:val="555555"/>
          <w:sz w:val="18"/>
        </w:rPr>
        <w:t xml:space="preserve">Gemeindefinanzreformgesetz­durchführungsverordnung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auf die Gemeinden des Freistaates Sachsen entfallende Anteil an der Umsatzsteuer wird auf die Gemeinden nach den in der Anlage 2 enthaltenen Schlüsselzahlen aufgeteilt.</w:t>
      </w:r>
    </w:p>
    <w:p>
      <w:r>
        <w:t xml:space="preserve">(2) § 1 Absatz 2 gilt entsprechend.</w:t>
      </w:r>
    </w:p>
    <w:p>
      <w:r>
        <w:rPr>
          <w:color w:val="555555"/>
          <w:sz w:val="17"/>
        </w:rPr>
        <w:t xml:space="preserve">Zitiervorschlag: § 2 GFRGDVO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https://recht.nulegal.eu/gesetze/GFRGDVO/2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