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GFRGDVO (Sachsen) — Verteilungsschlüssel für den Gemeindeanteil an der Einkommensteuer</w:t>
      </w:r>
    </w:p>
    <w:p>
      <w:r>
        <w:rPr>
          <w:color w:val="555555"/>
          <w:sz w:val="18"/>
        </w:rPr>
        <w:t xml:space="preserve">Gemeindefinanzreformgesetz­durchführungsverordnung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auf die Gemeinden des Freistaates Sachsen entfallende Anteil an der Einkommensteuer wird auf diese nach den in der Anlage 1 enthaltenen Schlüsselzahlen aufgeteilt. Wegen der rückwirkend zum 1. Januar 2024 erfolgten Änderung von § 3 Absatz 1 Satz 4 des Gemeindefinanzreformgesetzes überzahlte Beträge können zurückgefordert werden.</w:t>
      </w:r>
    </w:p>
    <w:p>
      <w:r>
        <w:t xml:space="preserve">(2) In Fällen kommunaler Neugliederung gilt bis zur Neufestsetzung der Schlüsselzahlen, dass</w:t>
      </w:r>
    </w:p>
    <w:p>
      <w:r>
        <w:t xml:space="preserve">1. bei Eingliederung oder Vereinigung von Gemeinden für die neue Gemeinde die Summe der Schlüsselzahlen der bisherigen Gemeinden maßgebend ist,</w:t>
      </w:r>
    </w:p>
    <w:p>
      <w:r>
        <w:t xml:space="preserve">2. bei Teilung von Gemeinden die Schlüsselzahl im Verhältnis der auf die Teile entfallenden Einwohnerzahlen auf die Rechtsnachfolger aufgeteilt wird.</w:t>
      </w:r>
    </w:p>
    <w:p>
      <w:r>
        <w:t xml:space="preserve">Maßgebend ist im Fall von Satz 1 Nummer 2 die vorläufige Einwohnerzahl, die vom Statistischen Landesamt zum Stichtag 31. Dezember des vorvergangenen Jahres festgestellt wird.</w:t>
      </w:r>
    </w:p>
    <w:p>
      <w:r>
        <w:rPr>
          <w:color w:val="555555"/>
          <w:sz w:val="17"/>
        </w:rPr>
        <w:t xml:space="preserve">Zitiervorschlag: § 1 GFRGDVO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https://recht.nulegal.eu/gesetze/GFRGDVO/1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