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GFG — Staatsangehörigkeit</w:t>
      </w:r>
    </w:p>
    <w:p>
      <w:r>
        <w:rPr>
          <w:color w:val="555555"/>
          <w:sz w:val="18"/>
        </w:rPr>
        <w:t xml:space="preserve">Graduiertenförderungsgesetz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Stipendien können erhalten</w:t>
      </w:r>
    </w:p>
    <w:p>
      <w:pPr>
        <w:ind w:left="420"/>
      </w:pPr>
      <w:r>
        <w:t xml:space="preserve">1. Deutsche im Sinne des Grundgesetzes,</w:t>
      </w:r>
    </w:p>
    <w:p>
      <w:pPr>
        <w:ind w:left="420"/>
      </w:pPr>
      <w:r>
        <w:t xml:space="preserve">2. heimatlose Ausländer im Sinne des Gesetzes über die Rechtsstellung heimatloser Ausländer im Bundesgebiet vom 25. April 1951 (Bundesgesetzbl. I S. 269), geändert durch das Gesetz über Urheberrecht und verwandte Schutzrechte vom 9. September 1965 (Bundesgesetzbl. I S. 1273),</w:t>
      </w:r>
    </w:p>
    <w:p>
      <w:pPr>
        <w:ind w:left="420"/>
      </w:pPr>
      <w:r>
        <w:t xml:space="preserve">3. Ausländer, die ihren gewöhnlichen Aufenthalt im Geltungsbereich dieses Gesetzes haben und als Asylberechtigte nach § 28 des Ausländergesetzes vom 28. April 1965 (Bundesgesetzbl. I S. 353), zuletzt geändert durch Artikel 3 des Gesetzes zur Änderung des Arbeitsförderungsgesetzes und des Arbeitnehmerüberlassungsgesetzes vom 25. Juni 1975 (Bundesgesetzbl. I S. 1542), anerkannt sind.</w:t>
      </w:r>
    </w:p>
    <w:p>
      <w:r>
        <w:rPr>
          <w:color w:val="555555"/>
          <w:sz w:val="17"/>
        </w:rPr>
        <w:t xml:space="preserve">Zitiervorschlag: § 5 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