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GFG — Zweck der Förderung</w:t>
      </w:r>
    </w:p>
    <w:p>
      <w:r>
        <w:rPr>
          <w:color w:val="555555"/>
          <w:sz w:val="18"/>
        </w:rPr>
        <w:t xml:space="preserve">Graduiertenförderungsgesetz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Förderung des wissenschaftlichen, vornehmlich des Hochschullehrernachwuchses, werden nach Maßgabe dieses Gesetzes Stipendien gewährt.</w:t>
      </w:r>
    </w:p>
    <w:p>
      <w:r>
        <w:t xml:space="preserve">(2) Bei der Förderung sind der Bedarf an wissenschaftlichem Nachwuchs für die einzelnen Fachrichtungen sowie die Ziele der Forschungsplanung von Bund, Ländern und Hochschulen zu berücksichtigen.</w:t>
      </w:r>
    </w:p>
    <w:p>
      <w:r>
        <w:t xml:space="preserve">(3) Die Befugnis der Länder zur Förderung des wissenschaftlichen Nachwuchses auf Grund Landesrechts sowie besondere Förderungsmaßnahmen für bestimmte Fachgebiete oder Personengruppen bleiben unberührt.</w:t>
      </w:r>
    </w:p>
    <w:p>
      <w:r>
        <w:t xml:space="preserve">(4) Die vom Bund finanzierte Promotionsförderung der Hochbegabtenförderungswerke bleibt durch die Bestimmungen dieses Gesetzes unberührt.</w:t>
      </w:r>
    </w:p>
    <w:p>
      <w:r>
        <w:rPr>
          <w:color w:val="555555"/>
          <w:sz w:val="17"/>
        </w:rPr>
        <w:t xml:space="preserve">Zitiervorschlag: § 1 GFG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