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GFG 2026 (Nordrhein-Westfalen)</w:t>
      </w:r>
    </w:p>
    <w:p>
      <w:r>
        <w:rPr>
          <w:color w:val="555555"/>
          <w:sz w:val="18"/>
        </w:rPr>
        <w:t xml:space="preserve">Gemeindefinanzierungsgesetz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18. Dezember 2025</w:t>
      </w:r>
    </w:p>
    <w:p>
      <w:r>
        <w:t xml:space="preserve">Inhaltsübersicht</w:t>
      </w:r>
    </w:p>
    <w:p>
      <w:r>
        <w:t xml:space="preserve">Teil 1</w:t>
      </w:r>
    </w:p>
    <w:p>
      <w:r>
        <w:t xml:space="preserve">Grundlagen</w:t>
      </w:r>
    </w:p>
    <w:p>
      <w:r>
        <w:t xml:space="preserve">§ 1 Zuweisungen des Landes Nordrhein-Westfalen an die Gemeinden und Gemeindeverbände</w:t>
      </w:r>
    </w:p>
    <w:p>
      <w:r>
        <w:t xml:space="preserve">Teil 2</w:t>
      </w:r>
    </w:p>
    <w:p>
      <w:r>
        <w:t xml:space="preserve">Steuerverbund</w:t>
      </w:r>
    </w:p>
    <w:p>
      <w:r>
        <w:t xml:space="preserve">§ 2 Ermittlung der Finanzausgleichsmasse</w:t>
      </w:r>
    </w:p>
    <w:p>
      <w:r>
        <w:t xml:space="preserve">§ 3 Vorwegabzüge, Voraberhöhungen</w:t>
      </w:r>
    </w:p>
    <w:p>
      <w:r>
        <w:t xml:space="preserve">§ 4 Aufteilung der verteilbaren Finanzausgleichsmasse</w:t>
      </w:r>
    </w:p>
    <w:p>
      <w:r>
        <w:t xml:space="preserve">§ 5 Grundsätze für die Schlüsselzuweisungen</w:t>
      </w:r>
    </w:p>
    <w:p>
      <w:r>
        <w:t xml:space="preserve">§ 6 Aufteilung der Schlüsselmasse</w:t>
      </w:r>
    </w:p>
    <w:p>
      <w:r>
        <w:t xml:space="preserve">§ 7 Festsetzung der Schlüsselzuweisungen für die Gemeinden</w:t>
      </w:r>
    </w:p>
    <w:p>
      <w:r>
        <w:t xml:space="preserve">§ 8 Ermittlung der Ausgangsmesszahl für die Gemeinden</w:t>
      </w:r>
    </w:p>
    <w:p>
      <w:r>
        <w:t xml:space="preserve">§ 9 Ermittlung der Steuerkraftmesszahl für die Gemeinden</w:t>
      </w:r>
    </w:p>
    <w:p>
      <w:r>
        <w:t xml:space="preserve">§ 10 Festsetzung der Schlüsselzuweisungen für die Kreise</w:t>
      </w:r>
    </w:p>
    <w:p>
      <w:r>
        <w:t xml:space="preserve">§ 11 Ermittlung der Ausgangsmesszahl für die Kreise und die Städteregion Aachen</w:t>
      </w:r>
    </w:p>
    <w:p>
      <w:r>
        <w:t xml:space="preserve">§ 12 Ermittlung der Umlagekraftmesszahl für die Kreise und die Städteregion Aachen</w:t>
      </w:r>
    </w:p>
    <w:p>
      <w:r>
        <w:t xml:space="preserve">§ 13 Festsetzung der Schlüsselzuweisungen für die Landschaftsverbände</w:t>
      </w:r>
    </w:p>
    <w:p>
      <w:r>
        <w:t xml:space="preserve">§ 14 Ermittlung der Ausgangsmesszahl für die Landschaftsverbände</w:t>
      </w:r>
    </w:p>
    <w:p>
      <w:r>
        <w:t xml:space="preserve">§ 15 Ermittlung der Umlagekraftmesszahl für die Landschaftsverbände</w:t>
      </w:r>
    </w:p>
    <w:p>
      <w:r>
        <w:t xml:space="preserve">§ 16 Investitionspauschalen, Aufwands- und Unterhaltungspauschale</w:t>
      </w:r>
    </w:p>
    <w:p>
      <w:r>
        <w:t xml:space="preserve">§ 17 Schul- und Bildungspauschale</w:t>
      </w:r>
    </w:p>
    <w:p>
      <w:r>
        <w:t xml:space="preserve">§ 18 Sportpauschale</w:t>
      </w:r>
    </w:p>
    <w:p>
      <w:r>
        <w:t xml:space="preserve">§ 19 Zuweisungen an Gemeinden und Gemeindeverbände zur Überwindung außergewöhnlicher oder unvorhersehbarer Belastungssituationen</w:t>
      </w:r>
    </w:p>
    <w:p>
      <w:r>
        <w:t xml:space="preserve">Teil 3</w:t>
      </w:r>
    </w:p>
    <w:p>
      <w:r>
        <w:t xml:space="preserve">Zuweisungen außerhalb des Steuerverbundes</w:t>
      </w:r>
    </w:p>
    <w:p>
      <w:r>
        <w:t xml:space="preserve">§ 20 Kompensationsleistungen an die Gemeinden für Verluste durch die Neuregelung des Familienleistungsausgleichs</w:t>
      </w:r>
    </w:p>
    <w:p>
      <w:r>
        <w:t xml:space="preserve">§ 21 Kompensationsleistungen an die Gemeinden für Verluste in Zusammenhang mit dem Steuervereinfachungsgesetz 2011</w:t>
      </w:r>
    </w:p>
    <w:p>
      <w:r>
        <w:t xml:space="preserve">§ 22 Zuweisungen nach Maßgabe des Haushaltsplans des Landes</w:t>
      </w:r>
    </w:p>
    <w:p>
      <w:r>
        <w:t xml:space="preserve">Teil 4</w:t>
      </w:r>
    </w:p>
    <w:p>
      <w:r>
        <w:t xml:space="preserve">Umlagegrundlagen, Umlagen</w:t>
      </w:r>
    </w:p>
    <w:p>
      <w:r>
        <w:t xml:space="preserve">§ 23 Umlagegrundlagen für Schlüsselzuweisungen</w:t>
      </w:r>
    </w:p>
    <w:p>
      <w:r>
        <w:t xml:space="preserve">§ 24 Kreisumlage</w:t>
      </w:r>
    </w:p>
    <w:p>
      <w:r>
        <w:t xml:space="preserve">§ 25 Landschaftsumlage</w:t>
      </w:r>
    </w:p>
    <w:p>
      <w:r>
        <w:t xml:space="preserve">§ 26 Verbandsumlage des Regionalverbandes Ruhr</w:t>
      </w:r>
    </w:p>
    <w:p>
      <w:r>
        <w:t xml:space="preserve">Teil 5</w:t>
      </w:r>
    </w:p>
    <w:p>
      <w:r>
        <w:t xml:space="preserve">Gemeinsame Vorschriften und Verfahren</w:t>
      </w:r>
    </w:p>
    <w:p>
      <w:r>
        <w:t xml:space="preserve">§ 27 Grundlagen für die Erhebung und die Anwendung von Daten zur Berechnung von Zuweisungen aus dem Steuerverbund</w:t>
      </w:r>
    </w:p>
    <w:p>
      <w:r>
        <w:t xml:space="preserve">§ 28 Verfahrensregelungen zur Ermittlung, Festsetzung und Auszahlung der Zuweisungen aus dem Steuerverbund</w:t>
      </w:r>
    </w:p>
    <w:p>
      <w:r>
        <w:t xml:space="preserve">§ 29 Ausgleich fehlerhafter Zuweisungen aus dem Steuerverbund</w:t>
      </w:r>
    </w:p>
    <w:p>
      <w:r>
        <w:t xml:space="preserve">§ 30 Bewirtschaftung der Mittel des Steuerverbundes</w:t>
      </w:r>
    </w:p>
    <w:p>
      <w:r>
        <w:t xml:space="preserve">§ 31 Abschlagszahlungen für Verluste durch die Neuregelung des Familienleistungsausgleichs und in Zusammenhang mit dem Steuervereinfachungsgesetz 2011</w:t>
      </w:r>
    </w:p>
    <w:p>
      <w:r>
        <w:t xml:space="preserve">§ 32 Förderungsgrundsätze für zweckgebundene Zuweisungen nach Maßgabe des Haushaltsplans des Landes</w:t>
      </w:r>
    </w:p>
    <w:p>
      <w:r>
        <w:t xml:space="preserve">§ 33 Kürzungsermächtigung</w:t>
      </w:r>
    </w:p>
    <w:p>
      <w:r>
        <w:t xml:space="preserve">Teil 6</w:t>
      </w:r>
    </w:p>
    <w:p>
      <w:r>
        <w:t xml:space="preserve">Inkrafttreten, Außerkrafttreten</w:t>
      </w:r>
    </w:p>
    <w:p>
      <w:r>
        <w:t xml:space="preserve">§ 34 Inkrafttreten, Außerkrafttreten</w:t>
      </w:r>
    </w:p>
    <w:p>
      <w:r>
        <w:t xml:space="preserve">Anlagen</w:t>
      </w:r>
    </w:p>
    <w:p>
      <w:r>
        <w:t xml:space="preserve">Anlage 1 Ableitung der Finanzausgleichsmasse 2026</w:t>
      </w:r>
    </w:p>
    <w:p>
      <w:r>
        <w:t xml:space="preserve">Anlage 2 Aufteilung der Finanzausgleichsmasse 2026</w:t>
      </w:r>
    </w:p>
    <w:p>
      <w:r>
        <w:t xml:space="preserve">Anlage 3 Hauptansatzstaffel</w:t>
      </w:r>
    </w:p>
    <w:p>
      <w:r>
        <w:t xml:space="preserve">Anlage 4 Bevölkerung in den Gemeinden des Landes Nordrhein-Westfalen zu den Stichtagen 31. Dezember 2022, 31. Dezember 2023 und 31. Dezember 2024</w:t>
      </w:r>
    </w:p>
    <w:p>
      <w:r>
        <w:rPr>
          <w:color w:val="555555"/>
          <w:sz w:val="17"/>
        </w:rPr>
        <w:t xml:space="preserve">Zitiervorschlag: Eingangsformel GFG 2026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https://recht.nulegal.eu/gesetze/GFG%202026/eingangsformel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