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GFG 2026 (Nordrhein-Westfalen) — Ermittlung der Steuerkraftmesszahl für die Gemeinden</w:t>
      </w:r>
    </w:p>
    <w:p>
      <w:r>
        <w:rPr>
          <w:color w:val="555555"/>
          <w:sz w:val="18"/>
        </w:rPr>
        <w:t xml:space="preserve">Gemeindefinanzierungsgesetz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Steuerkraftmesszahl ergibt sich aus der Summe der für die Gemeinden geltenden Steuerkraftzahlen der Gewerbesteuer, der Grundsteuern, des Gemeindeanteils an der Einkommensteuer und des Gemeindeanteils an der Umsatzsteuer abzüglich der Steuerkraftzahl der Gewerbesteuerumlage in der Referenzperiode nach § 27 Absatz 8.</w:t>
      </w:r>
    </w:p>
    <w:p>
      <w:r>
        <w:t xml:space="preserve">(2) Als Steuerkraftzahlen werden zugrunde gelegt</w:t>
      </w:r>
    </w:p>
    <w:p>
      <w:r>
        <w:t xml:space="preserve">1. bei der Gewerbesteuer das Ist-Aufkommen des ersten Halbjahres der Referenzperiode, geteilt durch den im ersten Halbjahr der Referenzperiode tatsächlich festgesetzten Hebesatz, addiert zu dem Ist-Aufkommen des zweiten Halbjahres der Referenzperiode, geteilt durch den im zweiten Halbjahr der Referenzperiode tatsächlich festgesetzten Hebesatz, multipliziert mit 433 bei den kreisfreien Städten und multipliziert mit 421 bei den kreisangehörigen Städten und Gemeinden,</w:t>
      </w:r>
    </w:p>
    <w:p>
      <w:r>
        <w:t xml:space="preserve">2. bei der Grundsteuer A das Ist-Aufkommen des ersten Halbjahres der Referenzperiode, geteilt durch den im ersten Halbjahr der Referenzperiode tatsächlich festgesetzten Hebesatz, multipliziert mit 253 bei den kreisfreien Städten und multipliziert mit 277 bei den kreisangehörigen Städten und Gemeinden addiert zu dem Ist-Aufkommen des zweiten Halbjahres der Referenzperiode, geteilt durch den im zweiten Halbjahr der Referenzperiode tatsächlich festgesetzten Hebesatz, multipliziert mit 317 bei den kreisfreien Städten und multipliziert mit 345 bei den kreisangehörigen Städten und Gemeinden,</w:t>
      </w:r>
    </w:p>
    <w:p>
      <w:r>
        <w:t xml:space="preserve">3. bei der Grundsteuer B und bei der Grundsteuer C das jeweilige Ist-Aufkommen des ersten Halbjahres der Referenzperiode, geteilt durch den im ersten Halbjahr der Referenzperiode tatsächlich festgesetzten jeweiligen Hebesatz, multipliziert mit 547 bei den kreisfreien Städten und multipliziert mit 535 bei den kreisangehörigen Städten und Gemeinden addiert zu dem jeweiligem Ist-Aufkommen des zweiten Halbjahres der Referenzperiode, geteilt durch den im zweiten Halbjahr der Referenzperiode tatsächlich festgesetzten jeweiligen Hebesatz, multipliziert mit 609 bei den kreisfreien Städten und multipliziert mit 639 bei den kreisangehörigen Städten und Gemeinden,</w:t>
      </w:r>
    </w:p>
    <w:p>
      <w:r>
        <w:t xml:space="preserve">4. bei dem Gemeindeanteil an der Einkommensteuer das Ist-Aufkommen in der Referenzperiode</w:t>
      </w:r>
    </w:p>
    <w:p>
      <w:r>
        <w:t xml:space="preserve">a) zuzüglich der in der Referenzperiode angefallenen Kompensationsleistungen an die Gemeinden für Verluste aus der Neuregelung des Familienleistungsausgleichs unter Berücksichtigung der in diesem Zeitraum angefallenen Abrechnungsbeträge und</w:t>
      </w:r>
    </w:p>
    <w:p>
      <w:r>
        <w:t xml:space="preserve">b) zuzüglich der in der Referenzperiode angefallenen Kompensationsleistungen an die Gemeinden für Verluste im Zusammenhang mit dem Steuervereinfachungsgesetz 2011,</w:t>
      </w:r>
    </w:p>
    <w:p>
      <w:r>
        <w:t xml:space="preserve">5. bei dem Gemeindeanteil an der Umsatzsteuer das Ist-Aufkommen in der Referenzperiode und</w:t>
      </w:r>
    </w:p>
    <w:p>
      <w:r>
        <w:t xml:space="preserve">6. bei der Gewerbesteuerumlage das Ist-Aufkommen der Gewerbesteuer im ersten Halbjahr der Referenzperiode, geteilt durch den im ersten Halbjahr der Referenzperiode tatsächlich festgesetzten Hebesatz, multipliziert mit den im ersten Halbjahr der Referenzperiode festgesetzten Vervielfältigern für die Gewerbesteuerumlage zuzüglich des Ist-Aufkommens im zweiten Halbjahr der Referenzperiode, geteilt durch den im zweiten Halbjahr der Referenzperiode tatsächlich festgesetzten Hebesatz, multipliziert mit den im zweiten Halbjahr der Referenzperiode festgesetzten Vervielfältigern für die Gewerbesteuerumlage.</w:t>
      </w:r>
    </w:p>
    <w:p>
      <w:r>
        <w:rPr>
          <w:color w:val="555555"/>
          <w:sz w:val="17"/>
        </w:rPr>
        <w:t xml:space="preserve">Zitiervorschlag: § 9 GFG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https://recht.nulegal.eu/gesetze/GFG%202026/9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