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GFG 2026 (Nordrhein-Westfalen) — Ermittlung der Ausgangsmesszahl für die Gemeinden</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Ausgangsmesszahl einer Gemeinde wird ermittelt, indem der Gesamtansatz mit dem einheitlichen Grundbetrag nach § 28 Absatz 1 Satz 2 vervielfältigt wird.</w:t>
      </w:r>
    </w:p>
    <w:p>
      <w:r>
        <w:t xml:space="preserve">(2) Der Gesamtansatz wird aus dem Hauptansatz unter Berücksichtigung von Bevölkerungsveränderungen, dem Beschultenansatz, dem Soziallastenansatz, dem Zentralitätsansatz und dem Flächenansatz gebildet.</w:t>
      </w:r>
    </w:p>
    <w:p>
      <w:r>
        <w:t xml:space="preserve">(3) Der Hauptansatz wird den Gemeinden nach der relevanten Bevölkerungszahl gewährt. Zur Ermittlung und Festsetzung der relevanten Bevölkerungszahl wird die Zahl der Einwohnerinnen und Einwohner nach § 27 Absatz 3 Satz 1 mit der durchschnittlichen Zahl der Einwohnerinnen und Einwohner nach § 27 Absatz 3 Satz 2 verglichen. Der höhere Wert wird angesetzt. Für die Berücksichtigung im Hauptansatz wird dieser Wert nach der Gemeindegröße gewichtet (Hauptansatzstaffel - Anlage 3 zu diesem Gesetz). Liegt die Bevölkerungszahl einer Gemeinde zwischen zwei Stufen der Staffelklasse, so wird der Prozentsatz mit den dazwischenliegenden Werten angesetzt. Der Prozentsatz wird auf eine Dezimalstelle hinter dem Komma aufgerundet.</w:t>
      </w:r>
    </w:p>
    <w:p>
      <w:r>
        <w:t xml:space="preserve">(4) Der Beschultenansatz wird den Gemeinden für jede erfasste Beschulte oder jeden erfassten Beschulten nach § 27 Absatz 5 an Schulen in eigener Trägerschaft gewährt. Für die Berücksichtigung wird die Zahl der Beschulten gewichtet nach</w:t>
      </w:r>
    </w:p>
    <w:p>
      <w:r>
        <w:t xml:space="preserve">1. Langtagsbeschulten mit 3,13 und</w:t>
      </w:r>
    </w:p>
    <w:p>
      <w:r>
        <w:t xml:space="preserve">2. Kurztagsbeschulten mit 1,56.</w:t>
      </w:r>
    </w:p>
    <w:p>
      <w:r>
        <w:t xml:space="preserve">Soweit Zweckverbände Schulträger sind, werden die Beschulten den dem Zweckverband angehörenden Gemeinden entsprechend dem Anteil an der Verbandsumlage zugerechnet. Erfolgt die Übertragung der Schulträgerschaft durch öffentlich-rechtliche Vereinbarung, werden die Beschulten den beteiligten Kommunen entsprechend dem in dieser Vereinbarung geregelten Finanzierungsanteil zugerechnet. Der Beschultenansatz wird den Städten Düren und Gütersloh zur Hälfte auch für Schülerinnen und Schüler gewährt, die die Stiftischen Gymnasien in diesen Gemeinden besuchen.</w:t>
      </w:r>
    </w:p>
    <w:p>
      <w:r>
        <w:t xml:space="preserve">(5) Der Soziallastenansatz wird den Gemeinden für die erfassten Bedarfsgemeinschaften im Sinne von § 7 Absatz 3 des Zweiten Buches Sozialgesetzbuch – Bürgergeld, Grundsicherung für Arbeitsuchende – in der Fassung der Bekanntmachung vom 13. Mai 2011 (BGBl. I S. 850, 2094), das zuletzt durch Artikel 2 des Gesetzes vom 24. Februar 2025 (BGBl. 2025 I Nr. 57) geändert worden ist, nach § 27 Absatz 6 gewährt. Für die Berücksichtigung im Soziallastenansatz wird die Zahl der Bedarfsgemeinschaften mit 20,59 multipliziert.</w:t>
      </w:r>
    </w:p>
    <w:p>
      <w:r>
        <w:t xml:space="preserve">(6) Der Zentralitätsansatz wird den Gemeinden für die erfassten sozialversicherungspflichtig Beschäftigten nach § 27 Absatz 7 gewährt. Für die Berücksichtigung im Zentralitätsansatz wird die Zahl der sozialversicherungspflichtig Beschäftigten mit 0,98 multipliziert.</w:t>
      </w:r>
    </w:p>
    <w:p>
      <w:r>
        <w:t xml:space="preserve">(7) Der Flächenansatz wird den Gemeinden gewährt, die eine über dem Landesdurchschnitt liegende Gebietsfläche pro Einwohnerin und Einwohner aufweisen. Dieser Flächenanteil einer Gemeinde wird mit 0,16 multipliziert. Landesdurchschnitt ist das arithmetische Mittel aus der Gesamtheit der gemeindlichen Fläche-Bevölkerung-Relationen. Bei der Ermittlung des Flächenansatzes werden die maßgebliche Gebietsfläche einer Gemeinde nach § 27 Absatz 9 und die Bevölkerungszahl einer Gemeinde nach § 27 Absatz 3 Satz 1 berücksichtigt.</w:t>
      </w:r>
    </w:p>
    <w:p>
      <w:r>
        <w:rPr>
          <w:color w:val="555555"/>
          <w:sz w:val="17"/>
        </w:rPr>
        <w:t xml:space="preserve">Zitiervorschlag: § 8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