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GFG 2026 (Nordrhein-Westfalen) — Aufteilung der Schlüsselmasse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Schlüsselzuweisungen wird insgesamt ein Betrag von 14 180 932 700 Euro zur Verfügung gestellt. Dieser Betrag wird aufgeteilt auf die Schlüsselmasse für</w:t>
      </w:r>
    </w:p>
    <w:p>
      <w:r>
        <w:t xml:space="preserve">1. Gemeinden mit 11 131 245 700 Euro,</w:t>
      </w:r>
    </w:p>
    <w:p>
      <w:r>
        <w:t xml:space="preserve">2. Kreise mit 1 658 988 800 Euro und</w:t>
      </w:r>
    </w:p>
    <w:p>
      <w:r>
        <w:t xml:space="preserve">3. Landschaftsverbände mit 1 390 698 200 Euro.</w:t>
      </w:r>
    </w:p>
    <w:p>
      <w:r>
        <w:rPr>
          <w:color w:val="555555"/>
          <w:sz w:val="17"/>
        </w:rPr>
        <w:t xml:space="preserve">Zitiervorschlag: § 6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