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GFG 2026 (Nordrhein-Westfalen) — Grundsätze für die Schlüsselzuweisungen</w:t>
      </w:r>
    </w:p>
    <w:p>
      <w:r>
        <w:rPr>
          <w:color w:val="555555"/>
          <w:sz w:val="18"/>
        </w:rPr>
        <w:t xml:space="preserve">Gemeindefinanzierungsgesetz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und die Gemeindeverbände erhalten Schlüsselzuweisungen, deren Höhe sich für die einzelne Gebietskörperschaft nach ihrem Finanzbedarf und nach ihrer Steuer- oder Umlagekraft bemisst. Neben der Bevölkerungszahl werden für die Bedarfsermittlung berücksichtigt:</w:t>
      </w:r>
    </w:p>
    <w:p>
      <w:r>
        <w:t xml:space="preserve">1. die Trägerschaft von Schulen,</w:t>
      </w:r>
    </w:p>
    <w:p>
      <w:r>
        <w:t xml:space="preserve">2. die Soziallasten,</w:t>
      </w:r>
    </w:p>
    <w:p>
      <w:r>
        <w:t xml:space="preserve">3. die Zentralitätsfunktion und</w:t>
      </w:r>
    </w:p>
    <w:p>
      <w:r>
        <w:t xml:space="preserve">4. das Verhältnis von Fläche und Bevölkerungszahl.</w:t>
      </w:r>
    </w:p>
    <w:p>
      <w:r>
        <w:t xml:space="preserve">(2) Die Schlüsselzuweisung wird aus der Gegenüberstellung einer Ausgangsmesszahl nach den §§ 8, 11 und 14 sowie einer Steuerkraftmesszahl nach § 9 oder einer Umlagekraftmesszahl nach den §§ 12 und 15 berechnet.</w:t>
      </w:r>
    </w:p>
    <w:p>
      <w:r>
        <w:rPr>
          <w:color w:val="555555"/>
          <w:sz w:val="17"/>
        </w:rPr>
        <w:t xml:space="preserve">Zitiervorschlag: § 5 GFG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https://recht.nulegal.eu/gesetze/GFG%202026/5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