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GFG 2026 (Nordrhein-Westfalen) — Inkrafttreten, Außerkrafttreten</w:t>
      </w:r>
    </w:p>
    <w:p>
      <w:r>
        <w:rPr>
          <w:color w:val="555555"/>
          <w:sz w:val="18"/>
        </w:rPr>
        <w:t xml:space="preserve">Gemeindefinanzierungsgesetz 2026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1. Januar 2026 in Kraft und mit dem Inkrafttreten eines neuen Gemeindefinanzierungsgesetzes außer Kraft</w:t>
      </w:r>
    </w:p>
    <w:p>
      <w:r>
        <w:rPr>
          <w:color w:val="555555"/>
          <w:sz w:val="17"/>
        </w:rPr>
        <w:t xml:space="preserve">Zitiervorschlag: § 34 GFG 2026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https://recht.nulegal.eu/gesetze/GFG%202026/34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