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GFG 2026 (Nordrhein-Westfalen) — Abschlagszahlungen für Verluste durch die Neuregelung des Familienleistungsausgleichs und in Zusammenhang mit dem Steuervereinfachungsgesetz 2011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Kommunales und das für Finanzen zuständige Ministerium leisten Abschlagszahlungen auf der Basis aktueller Proberechnungen von IT. NRW, wenn die Festsetzung der Kompensationsleistungen an die Gemeinden für Verluste</w:t>
      </w:r>
    </w:p>
    <w:p>
      <w:r>
        <w:t xml:space="preserve">1. durch die Neuregelung des Familienleistungsausgleichs nach § 20 und</w:t>
      </w:r>
    </w:p>
    <w:p>
      <w:r>
        <w:t xml:space="preserve">2. in Zusammenhang mit dem Steuervereinfachungsgesetz 2011 nach § 21</w:t>
      </w:r>
    </w:p>
    <w:p>
      <w:r>
        <w:t xml:space="preserve">für das Jahr 2026 nicht vor dem nächstmöglichen Auszahlungstermin nach § 3 der Verordnung über die Aufteilung und Auszahlung des Gemeindeanteils an der Einkommensteuer und die Abführung der Gewerbesteuerumlage für die Haushaltsjahre 2024, 2025 und 2026 erfolgt ist.</w:t>
      </w:r>
    </w:p>
    <w:p>
      <w:r>
        <w:t xml:space="preserve">(2) Die Abschlagszahlungen werden nach der endgültigen Festsetzung mit der ersten ordentlichen Zahlung nach der Festsetzung auf Grund dieses Gesetzes verrechnet.</w:t>
      </w:r>
    </w:p>
    <w:p>
      <w:r>
        <w:t xml:space="preserve">(3) Die Absätze 1 und 2 gelten entsprechend für das Haushaltsjahr 2027, wenn dies bereits vor Verkündung des für das Jahr 2027 geltenden Gemeindefinanzierungsgesetzes erforderlich ist.</w:t>
      </w:r>
    </w:p>
    <w:p>
      <w:r>
        <w:rPr>
          <w:color w:val="555555"/>
          <w:sz w:val="17"/>
        </w:rPr>
        <w:t xml:space="preserve">Zitiervorschlag: § 31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