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GFG 2026 (Nordrhein-Westfalen) — Ausgleich fehlerhafter Zuweisungen aus dem Steuerverbund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Unrichtigkeiten, die nicht auf Daten aus amtlichen Statistiken zurückzuführen sind, werden bis längstens drei Jahre nach Festsetzung der Schlüsselzuweisungen nach § 6, der Schul- und Bildungspauschale nach § 17 sowie der Sonderbedarfszuweisungen nach § 19 Absatz 2 Nummer 1 und 2 berichtigt, wenn die Summe der zu berichtigenden Zuweisungen oder das zu berichtigende Steuer-Ist-Aufkommen nach § 9 Absatz 2 Nummer 1 bis 3 einer Gemeinde eines Jahres den Betrag von 15 000 Euro übersteigt.</w:t>
      </w:r>
    </w:p>
    <w:p>
      <w:r>
        <w:t xml:space="preserve">(2) Die für Berichtigungen erforderlichen Beträge werden vorab mit den zur Verfügung gestellten Schlüsselzuweisungen nach § 6, den Mitteln der Schul- und Bildungspauschale nach § 17 sowie den Mitteln der Sonderbedarfszuweisungen nach § 19 Absatz 2 Nummer 1 und 2 verrechnet.</w:t>
      </w:r>
    </w:p>
    <w:p>
      <w:r>
        <w:t xml:space="preserve">(3) Berichtigungen nach Absatz 1 können mit allen Leistungen aus dem Steuerverbund verrechnet werden.</w:t>
      </w:r>
    </w:p>
    <w:p>
      <w:r>
        <w:rPr>
          <w:color w:val="555555"/>
          <w:sz w:val="17"/>
        </w:rPr>
        <w:t xml:space="preserve">Zitiervorschlag: § 29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