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GFG 2026 (Nordrhein-Westfalen) — Kreisumlage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Kreisumlage wird in Prozentsätzen der festgesetzten Umlagegrundlagen nach § 23 Nummer 1 und 2 festgesetzt. Für die Festsetzung einer ausschließlichen Belastung oder einer Mehr- oder Minderbelastung einzelner Teile des Kreises sowie für die Erhebung einer Sonderumlage gilt Satz 1 entsprechend.</w:t>
      </w:r>
    </w:p>
    <w:p>
      <w:r>
        <w:t xml:space="preserve">(2) Für die Festsetzung der Regionsumlage nach dem Städteregion Aachen Gesetz gilt Absatz 1.</w:t>
      </w:r>
    </w:p>
    <w:p>
      <w:r>
        <w:rPr>
          <w:color w:val="555555"/>
          <w:sz w:val="17"/>
        </w:rPr>
        <w:t xml:space="preserve">Zitiervorschlag: § 24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