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GFG 2026 (Nordrhein-Westfalen) — Umlagegrundlagen für Schlüsselzuweisungen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Umlagegrundlagen zur Ermittlung der normierten Ertragskraft im Zusammenhang mit der Berechnung der Schlüsselzuweisungen sind</w:t>
      </w:r>
    </w:p>
    <w:p>
      <w:r>
        <w:t xml:space="preserve">1. für die Kreise</w:t>
      </w:r>
    </w:p>
    <w:p>
      <w:r>
        <w:t xml:space="preserve">a) die Steuerkraftmesszahlen der kreisangehörigen Gemeinden und</w:t>
      </w:r>
    </w:p>
    <w:p>
      <w:r>
        <w:t xml:space="preserve">b) die zu veranschlagenden Schlüsselzuweisungen der kreisangehörigen Gemeinden,</w:t>
      </w:r>
    </w:p>
    <w:p>
      <w:r>
        <w:t xml:space="preserve">2. für die Städteregion Aachen</w:t>
      </w:r>
    </w:p>
    <w:p>
      <w:r>
        <w:t xml:space="preserve">a) die Steuerkraftmesszahlen der regionsangehörigen Gemeinden und</w:t>
      </w:r>
    </w:p>
    <w:p>
      <w:r>
        <w:t xml:space="preserve">b) die zu veranschlagenden Schlüsselzuweisungen der regionsangehörigen Gemeinden abzüglich</w:t>
      </w:r>
    </w:p>
    <w:p>
      <w:r>
        <w:t xml:space="preserve">c) der Steuerkraftmesszahl der Stadt Aachen und</w:t>
      </w:r>
    </w:p>
    <w:p>
      <w:r>
        <w:t xml:space="preserve">d) der zu veranschlagenden Schlüsselzuweisungen der Stadt Aachen und</w:t>
      </w:r>
    </w:p>
    <w:p>
      <w:r>
        <w:t xml:space="preserve">3. für die Landschaftsverbände</w:t>
      </w:r>
    </w:p>
    <w:p>
      <w:r>
        <w:t xml:space="preserve">a) die Steuerkraftmesszahlen der Gemeinden und</w:t>
      </w:r>
    </w:p>
    <w:p>
      <w:r>
        <w:t xml:space="preserve">b) die zu veranschlagenden Schlüsselzuweisungen der Gemeinden und Kreise.</w:t>
      </w:r>
    </w:p>
    <w:p>
      <w:r>
        <w:rPr>
          <w:color w:val="555555"/>
          <w:sz w:val="17"/>
        </w:rPr>
        <w:t xml:space="preserve">Zitiervorschlag: § 23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