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GFG 2026 (Nordrhein-Westfalen) — Ermittlung der Ausgangsmesszahl für die Kreise und die Städteregion Aachen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Ausgangsmesszahl eines Kreises wird ermittelt, indem der Gesamtansatz mit dem einheitlichen Grundbetrag nach § 28 Absatz 1 Satz 2 multipliziert wird.</w:t>
      </w:r>
    </w:p>
    <w:p>
      <w:r>
        <w:t xml:space="preserve">(2) Der Gesamtansatz wird aus dem Hauptansatz und dem Beschultenansatz gebildet.</w:t>
      </w:r>
    </w:p>
    <w:p>
      <w:r>
        <w:t xml:space="preserve">(3) Der Hauptansatz der Kreise entspricht der Bevölkerungszahl im Kreis nach § 27 Absatz 3 Satz 1. Der Hauptansatz der Städteregion Aachen entspricht der Bevölkerungszahl in der Städteregion Aachen ohne die Zahl der Einwohnerinnen und Einwohner der Stadt Aachen jeweils nach § 27 Absatz 3 Satz 1.</w:t>
      </w:r>
    </w:p>
    <w:p>
      <w:r>
        <w:t xml:space="preserve">(4) Der Beschultenansatz wird den Kreisen für jede gemeldete Beschulte oder jeden gemeldeten Beschulten nach § 27 Absatz 5 an Schulen in eigener Trägerschaft gewährt. Die Regelung in § 8 Absatz 4 gilt entsprechend. Bevor der so ermittelte Wert in den Gesamtansatz einfließt, wird dieser Wert mit dem Kreisfaktor vervielfältigt. Das für Kommunales zuständige Ministerium setzt den Kreisfaktor fest.</w:t>
      </w:r>
    </w:p>
    <w:p>
      <w:r>
        <w:rPr>
          <w:color w:val="555555"/>
          <w:sz w:val="17"/>
        </w:rPr>
        <w:t xml:space="preserve">Zitiervorschlag: § 11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