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GFG 2026 (Nordrhein-Westfalen) — Festsetzung der Schlüsselzuweisungen für die Kreise</w:t>
      </w:r>
    </w:p>
    <w:p>
      <w:r>
        <w:rPr>
          <w:color w:val="555555"/>
          <w:sz w:val="18"/>
        </w:rPr>
        <w:t xml:space="preserve">Gemeindefinanzierungsgesetz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Jeder Kreis erhält als Schlüsselzuweisung den Unterschiedsbetrag zwischen der maßgeblichen Ausgangsmesszahl nach § 11 und der maßgeblichen Umlagekraftmesszahl nach § 12.</w:t>
      </w:r>
    </w:p>
    <w:p>
      <w:r>
        <w:t xml:space="preserve">(2) Erreicht oder überschreitet die Umlagekraftmesszahl die Ausgangsmesszahl, so erhält der Kreis keine Schlüsselzuweisung.</w:t>
      </w:r>
    </w:p>
    <w:p>
      <w:r>
        <w:rPr>
          <w:color w:val="555555"/>
          <w:sz w:val="17"/>
        </w:rPr>
        <w:t xml:space="preserve">Zitiervorschlag: § 10 GFG 2026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https://recht.nulegal.eu/gesetze/GFG%202026/10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