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GFDV — Förderung von Auslandsaufenthalten</w:t>
      </w:r>
    </w:p>
    <w:p>
      <w:r>
        <w:rPr>
          <w:color w:val="555555"/>
          <w:sz w:val="18"/>
        </w:rPr>
        <w:t xml:space="preserve">Graduiertenförderungsverordnung</w:t>
      </w:r>
    </w:p>
    <w:p>
      <w:r>
        <w:rPr>
          <w:color w:val="555555"/>
          <w:sz w:val="18"/>
        </w:rPr>
        <w:t xml:space="preserve">Stand: 10.06.2019 (konsolidierte Textfassung, kein amtliches Inkrafttretensdatum)</w:t>
      </w:r>
    </w:p>
    <w:p>
      <w:r>
        <w:t xml:space="preserve">(1) Zuschläge können, soweit sich aus den nachfolgenden Bestimmungen nicht etwas anderes ergibt, nach Maßgabe des § 3 auch für die Kosten von Reisen ins Ausland und innerhalb des Auslandes gewährt werden. Abweichungen von § 3 Abs. 3 Satz 1 sind zulässig, sofern die Benutzung der dort bezeichneten Beförderungsmittel nicht zumutbar ist. Kosten, die durch die Benutzung wissenschaftlicher Einrichtungen im Ausland entstehen, können ersetzt werden.</w:t>
      </w:r>
    </w:p>
    <w:p>
      <w:r>
        <w:t xml:space="preserve">(2) Zur Abgeltung erhöhter Aufwendungen für Unterkunft und Verpflegung können bei Reisen, auch soweit ihre Dauer 3 Monate überschreitet, Auslandszulagen nach Maßgabe der folgenden Vorschriften gewährt werden.</w:t>
      </w:r>
    </w:p>
    <w:p>
      <w:r>
        <w:t xml:space="preserve">(3) Die Aufenthaltsorte werden Zonen zugeteilt. Maßgebend ist die auf Grund des § 25 des Bundesbesoldungsgesetzes vorgenommene Zuteilung der ausländischen Dienstorte. Ist der Aufenthaltsort des Stipendiaten hiernach nicht zugeteilt, so wird die Zone zugrunde gelegt, die für den Ort des Aufenthaltslandes vorgesehen ist, der der niedrigsten Zone zugeteilt ist.</w:t>
      </w:r>
    </w:p>
    <w:p>
      <w:r>
        <w:t xml:space="preserve">(4) Auslandszulagen können bis zur Höhe der folgenden Tagessätze gewährt werden:</w:t>
      </w:r>
    </w:p>
    <w:p>
      <w:r>
        <w:rPr>
          <w:rFonts w:ascii="Courier New" w:hAnsi="Courier New"/>
          <w:sz w:val="17"/>
        </w:rPr>
        <w:t xml:space="preserve">Zone    1. bis 14. Reisetag    15. bis 30. Reisetag    ab 31. Reisetag</w:t>
      </w:r>
    </w:p>
    <w:p>
      <w:r>
        <w:rPr>
          <w:rFonts w:ascii="Courier New" w:hAnsi="Courier New"/>
          <w:sz w:val="17"/>
        </w:rPr>
        <w:t xml:space="preserve">Beträge in Deutscher Mark</w:t>
      </w:r>
    </w:p>
    <w:p>
      <w:r>
        <w:rPr>
          <w:rFonts w:ascii="Courier New" w:hAnsi="Courier New"/>
          <w:sz w:val="17"/>
        </w:rPr>
        <w:t xml:space="preserve">I    24    18    8</w:t>
      </w:r>
    </w:p>
    <w:p>
      <w:r>
        <w:rPr>
          <w:rFonts w:ascii="Courier New" w:hAnsi="Courier New"/>
          <w:sz w:val="17"/>
        </w:rPr>
        <w:t xml:space="preserve">II    30    22,50    12</w:t>
      </w:r>
    </w:p>
    <w:p>
      <w:r>
        <w:rPr>
          <w:rFonts w:ascii="Courier New" w:hAnsi="Courier New"/>
          <w:sz w:val="17"/>
        </w:rPr>
        <w:t xml:space="preserve">III    40    30    15</w:t>
      </w:r>
    </w:p>
    <w:p>
      <w:r>
        <w:rPr>
          <w:rFonts w:ascii="Courier New" w:hAnsi="Courier New"/>
          <w:sz w:val="17"/>
        </w:rPr>
        <w:t xml:space="preserve">IV    50    37,50    18</w:t>
      </w:r>
    </w:p>
    <w:p>
      <w:r>
        <w:rPr>
          <w:rFonts w:ascii="Courier New" w:hAnsi="Courier New"/>
          <w:sz w:val="17"/>
        </w:rPr>
        <w:t xml:space="preserve">V-VII    60    45    20</w:t>
      </w:r>
    </w:p>
    <w:p>
      <w:r>
        <w:rPr>
          <w:rFonts w:ascii="Courier New" w:hAnsi="Courier New"/>
          <w:sz w:val="17"/>
        </w:rPr>
        <w:t xml:space="preserve">VIII-X    60    45    22</w:t>
      </w:r>
    </w:p>
    <w:p>
      <w:r>
        <w:t xml:space="preserve">(5) Vom einunddreißigsten Reisetag an können zum Ausgleich von Kaufkraftunterschieden das Grundstipendium und die Auslandszulage um den Vomhundertsatz erhöht werden, um den die Bezüge von Angehörigen des auswärtigen Dienstes bei Auslandsaufenthalten erhöht werden (Kaufkraftausgleich).</w:t>
      </w:r>
    </w:p>
    <w:p>
      <w:r>
        <w:t xml:space="preserve">(6) Die Zonenzuteilung der Aufenthaltsorte und der Kaufkraftausgleich richten sich nach den Festsetzungen, die am 1. Januar des jeweiligen Jahres gelten. Spätere Änderungen können nur berücksichtigt werden, wenn sie zu einer Erhöhung oder Verminderung des Grundstipendiums sowie der Auslandszulage und des Kaufkraftausgleichs um insgesamt mehr als 20 vom Hundert führen würden.</w:t>
      </w:r>
    </w:p>
    <w:p>
      <w:r>
        <w:rPr>
          <w:color w:val="555555"/>
          <w:sz w:val="17"/>
        </w:rPr>
        <w:t xml:space="preserve">Zitiervorschlag: § 4 GFDV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