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GFDV — Mitteilungspflichten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Der Stipendiat ist verpflichtet, von der Beendigung der Gewährung des Stipendiums an jeden Wohnungswechsel und jede Änderung des Familiennamens sowie während der Dauer der Freistellung von der Rückzahlungsverpflichtung jede nach der Antragstellung eintretende Änderung seiner nach § 7a Abs. 4 oder Abs. 5 des Gesetzes maßgeblichen Familien- und Einkommensverhältnisse dem Bundesverwaltungsamt unverzüglich schriftlich mitzuteilen.</w:t>
      </w:r>
    </w:p>
    <w:p>
      <w:r>
        <w:t xml:space="preserve">(2) Die Kosten für jeden Versuch der Ermittlung des Aufenthaltsortes des Stipendiaten werden auf 25 Deutsche Mark festgesetzt; sie sind auf Anforderung zu erstatten. Das Bundesverwaltungsamt kann höhere Aufwendungen unter Darlegung der hierfür maßgeblichen Gründe geltend machen.</w:t>
      </w:r>
    </w:p>
    <w:p>
      <w:r>
        <w:rPr>
          <w:color w:val="555555"/>
          <w:sz w:val="17"/>
        </w:rPr>
        <w:t xml:space="preserve">Zitiervorschlag: § 23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