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GFDV — Verzug</w:t>
      </w:r>
    </w:p>
    <w:p>
      <w:r>
        <w:rPr>
          <w:color w:val="555555"/>
          <w:sz w:val="18"/>
        </w:rPr>
        <w:t xml:space="preserve">Graduiertenförderungsverordnung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Verzinsung nach § 7a Abs. 2 des Gesetzes beginnt mit dem Ersten des auf den Fälligkeitstag folgenden Kalendermonats.</w:t>
      </w:r>
    </w:p>
    <w:p>
      <w:r>
        <w:t xml:space="preserve">(2) Nach Eintritt der Fälligkeit werden gesondert erhoben:</w:t>
      </w:r>
    </w:p>
    <w:p>
      <w:pPr>
        <w:ind w:left="420"/>
      </w:pPr>
      <w:r>
        <w:t xml:space="preserve">1. Verzugszinsen,</w:t>
      </w:r>
    </w:p>
    <w:p>
      <w:pPr>
        <w:ind w:left="420"/>
      </w:pPr>
      <w:r>
        <w:t xml:space="preserve">2. Aufwendungen für die Geltendmachung der Darlehensforderung.</w:t>
      </w:r>
    </w:p>
    <w:p>
      <w:r>
        <w:rPr>
          <w:color w:val="555555"/>
          <w:sz w:val="17"/>
        </w:rPr>
        <w:t xml:space="preserve">Zitiervorschlag: § 21 GFDV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https://recht.nulegal.eu/gesetze/GFDV/21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