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GFDV — Freistellung von der Rückzahlungsverpflichtung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über die Freistellung von der Verpflichtung zur Rückzahlung des Darlehens nach § 7a Abs. 4 oder Abs. 5 des Gesetzes trifft das Bundesverwaltungsamt. Sie erfolgt nur auf schriftlichen Antrag. Sie ergeht in der Regel für die Dauer von zwölf Monaten.</w:t>
      </w:r>
    </w:p>
    <w:p>
      <w:r>
        <w:t xml:space="preserve">(2) Eine Freistellung erfolgt frühestens für den Monat, in dem der Antrag beim Bundesverwaltungsamt eingegangen ist.</w:t>
      </w:r>
    </w:p>
    <w:p>
      <w:r>
        <w:t xml:space="preserve">(3) Für die Berechnung des nach § 7a Abs. 4 oder Abs. 5 des Gesetzes maßgeblichen Einkommens gelten § 5 Abs. 2 bis 5 und § 6 Abs. 1 entsprechend.</w:t>
      </w:r>
    </w:p>
    <w:p>
      <w:r>
        <w:t xml:space="preserve">(4) Der Rückzahlungszeitraum verlängert sich um den Zeitraum der Freistellung.</w:t>
      </w:r>
    </w:p>
    <w:p>
      <w:r>
        <w:rPr>
          <w:color w:val="555555"/>
          <w:sz w:val="17"/>
        </w:rPr>
        <w:t xml:space="preserve">Zitiervorschlag: § 20 GFDV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