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GFDV — Familienzuschlag</w:t>
      </w:r>
    </w:p>
    <w:p>
      <w:r>
        <w:rPr>
          <w:color w:val="555555"/>
          <w:sz w:val="18"/>
        </w:rPr>
        <w:t xml:space="preserve">Graduiertenförderungsverordnung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Stipendiat erhält auf Antrag zu dem Grundstipendium einen Familienzuschlag von 200 Deutsche Mark monatlich, wenn</w:t>
      </w:r>
    </w:p>
    <w:p>
      <w:pPr>
        <w:ind w:left="420"/>
      </w:pPr>
      <w:r>
        <w:t xml:space="preserve">1. der Stipendiat und sein Ehegatte mindestens ein Kind zu versorgen haben und der Ehegatte nicht erwerbstätig ist, oder</w:t>
      </w:r>
    </w:p>
    <w:p>
      <w:pPr>
        <w:ind w:left="420"/>
      </w:pPr>
      <w:r>
        <w:t xml:space="preserve">2. der Stipendiat als Alleinstehender mindestens ein Kind zu versorgen hat, oder</w:t>
      </w:r>
    </w:p>
    <w:p>
      <w:pPr>
        <w:ind w:left="420"/>
      </w:pPr>
      <w:r>
        <w:t xml:space="preserve">3. sein Ehegatte nicht erwerbstätig ist und nicht deshalb Leistungen aus öffentlichen Kassen erhält.</w:t>
      </w:r>
    </w:p>
    <w:p>
      <w:r>
        <w:t xml:space="preserve">Erhalten beide Ehegatten Stipendien nach dem Gesetz oder erhält der Ehegatte des Stipendiaten ein Stipendium nach Vorschriften, deren Zielsetzung der des Gesetzes entspricht, so wird der Familienzuschlag nicht gewährt.</w:t>
      </w:r>
    </w:p>
    <w:p>
      <w:r>
        <w:rPr>
          <w:color w:val="555555"/>
          <w:sz w:val="17"/>
        </w:rPr>
        <w:t xml:space="preserve">Zitiervorschlag: § 2 GFDV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https://recht.nulegal.eu/gesetze/GFDV/2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