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GFABPrV — (zu den §§ 12 und 13) Bewertungsmaßstab und -schlüssel</w:t>
      </w:r>
    </w:p>
    <w:p>
      <w:r>
        <w:rPr>
          <w:color w:val="555555"/>
          <w:sz w:val="18"/>
        </w:rPr>
        <w:t xml:space="preserve">Arbeits- und Berufsförderungsfortbildungsprüfungsverordnung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(Fundstelle: BGBl. I 2019, 2421 – 2422)</w:t>
      </w:r>
    </w:p>
    <w:p>
      <w:r>
        <w:rPr>
          <w:rFonts w:ascii="Courier New" w:hAnsi="Courier New"/>
          <w:sz w:val="17"/>
        </w:rPr>
        <w:t xml:space="preserve">Punkte    Noteals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1 GFABPrV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https://recht.nulegal.eu/gesetze/GFABPrV/anlage-1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