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GFABPrV — Schriftliche Prüfungsaufgabe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Prüfungsaufgabe bezieht sich auf alle in § 3 genannten Handlungsbereiche.</w:t>
      </w:r>
    </w:p>
    <w:p>
      <w:r>
        <w:t xml:space="preserve">(2) Die schriftliche Prüfungsaufgabe besteht aus mehreren praxisbezogenen Aufgabenstellungen.</w:t>
      </w:r>
    </w:p>
    <w:p>
      <w:r>
        <w:t xml:space="preserve">(3) Die schriftliche Prüfungsaufgabe ist unter Aufsicht zu bearbeiten. Die Bearbeitungszeit beträgt 240 Minuten.</w:t>
      </w:r>
    </w:p>
    <w:p>
      <w:r>
        <w:rPr>
          <w:color w:val="555555"/>
          <w:sz w:val="17"/>
        </w:rPr>
        <w:t xml:space="preserve">Zitiervorschlag: § 9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