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GFABPrV — Gliederung der Prüfung</w:t>
      </w:r>
    </w:p>
    <w:p>
      <w:r>
        <w:rPr>
          <w:color w:val="555555"/>
          <w:sz w:val="18"/>
        </w:rPr>
        <w:t xml:space="preserve">Arbeits- und Berufsförderungsfortbildungsprüfungsverordnung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Prüfung gliedert sich in</w:t>
      </w:r>
    </w:p>
    <w:p>
      <w:pPr>
        <w:ind w:left="420"/>
      </w:pPr>
      <w:r>
        <w:t xml:space="preserve">1. eine schriftliche Prüfungsaufgabe nach § 9 und</w:t>
      </w:r>
    </w:p>
    <w:p>
      <w:pPr>
        <w:ind w:left="420"/>
      </w:pPr>
      <w:r>
        <w:t xml:space="preserve">2. eine Projektarbeit bestehend aus einer schriftlichen Abschlussarbeit und einer Projektpräsentation verbunden mit einem Fachgespräch nach § 10.</w:t>
      </w:r>
    </w:p>
    <w:p>
      <w:r>
        <w:rPr>
          <w:color w:val="555555"/>
          <w:sz w:val="17"/>
        </w:rPr>
        <w:t xml:space="preserve">Zitiervorschlag: § 8 GFABPrV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https://recht.nulegal.eu/gesetze/GFABPrV/8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