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GFABPrV — Handlungsbereich „Arbeits- und Beschäftigungsprozesse personenzentriert planen und steuern sowie Arbeitsplätze personenzentriert gestalten“</w:t>
      </w:r>
    </w:p>
    <w:p>
      <w:r>
        <w:rPr>
          <w:color w:val="555555"/>
          <w:sz w:val="18"/>
        </w:rPr>
        <w:t xml:space="preserve">Arbeits- und Berufsförderungsfortbildungsprüfungsverordnung</w:t>
      </w:r>
    </w:p>
    <w:p>
      <w:r>
        <w:rPr>
          <w:color w:val="555555"/>
          <w:sz w:val="18"/>
        </w:rPr>
        <w:t xml:space="preserve">Stand: 10.01.2020 (konsolidierte Textfassung, kein amtliches Inkrafttretensdatum)</w:t>
      </w:r>
    </w:p>
    <w:p>
      <w:r>
        <w:t xml:space="preserve">(1) Im Handlungsbereich „Arbeits- und Beschäftigungsprozesse personenzentriert planen und steuern sowie Arbeitsplätze personenzentriert gestalten“ soll die zu prüfende Person nachweisen, dass sie in der Lage ist, Arbeits- und Beschäftigungsprozesse für behinderte Menschen unter partizipativen, didaktischen und kommunikativen Gesichtspunkten sowie unter Berücksichtigung betriebswirtschaftlicher und betrieblicher Zusammenhänge und Anforderungen zu planen, zu steuern und zu gestalten. Die Arbeits- und Beschäftigungsprozesse sollen kontinuierlich an aktuelle Erfordernisse angepasst werden. Die Arbeitsplätze sind personenzentriert, orientiert an den Gegebenheiten des allgemeinen Arbeitsmarktes sowie lern- und persönlichkeitsförderlich zu gestalten. Dabei sind rechtliche und wirtschaftliche Rahmenbedingungen für die Teilhabe des behinderten Menschen am Arbeitsleben zu berücksichtigen.</w:t>
      </w:r>
    </w:p>
    <w:p>
      <w:r>
        <w:t xml:space="preserve">(2) In diesem Handlungsbereich können folgende Qualifikationsinhalte geprüft werden:</w:t>
      </w:r>
    </w:p>
    <w:p>
      <w:pPr>
        <w:ind w:left="420"/>
      </w:pPr>
      <w:r>
        <w:t xml:space="preserve">1. Auswählen von Aufgaben und Arbeiten unterschiedlicher Art und unterschiedlichen Schwierigkeitsgrades sowie Bewerten der Ergebnisse unter Berücksichtigung von Qualitätssicherung und Nachhaltigkeit,</w:t>
      </w:r>
    </w:p>
    <w:p>
      <w:pPr>
        <w:ind w:left="420"/>
      </w:pPr>
      <w:r>
        <w:t xml:space="preserve">2. Planen und Durchführen von Aufgaben und Arbeiten unter Anwendung geeigneter Verfahren und Methoden der Arbeitsvorbereitung, -steuerung und -kontrolle mit dem Ziel der selbstbestimmten und eigenverantwortlichen Arbeit und Beschäftigung von behinderten Menschen,</w:t>
      </w:r>
    </w:p>
    <w:p>
      <w:pPr>
        <w:ind w:left="420"/>
      </w:pPr>
      <w:r>
        <w:t xml:space="preserve">3. Gestalten individueller lern- und persönlichkeitsförderlicher Arbeitsplätze,</w:t>
      </w:r>
    </w:p>
    <w:p>
      <w:pPr>
        <w:ind w:left="420"/>
      </w:pPr>
      <w:r>
        <w:t xml:space="preserve">4. Beobachten, Bewerten und Dokumentieren der Entwicklung der individuellen Kompetenzen des behinderten Menschen unter Berücksichtigung anerkannter Methoden und Instrumentarien,</w:t>
      </w:r>
    </w:p>
    <w:p>
      <w:pPr>
        <w:ind w:left="420"/>
      </w:pPr>
      <w:r>
        <w:t xml:space="preserve">5. kontinuierliches Weiterentwickeln des Eingliederungsplanes,</w:t>
      </w:r>
    </w:p>
    <w:p>
      <w:pPr>
        <w:ind w:left="420"/>
      </w:pPr>
      <w:r>
        <w:t xml:space="preserve">6. Fördern des Übergangs des behinderten Menschen auf den allgemeinen Arbeitsmarkt durch Motivieren, Initiieren, Begleiten und Qualifizieren sowie</w:t>
      </w:r>
    </w:p>
    <w:p>
      <w:pPr>
        <w:ind w:left="420"/>
      </w:pPr>
      <w:r>
        <w:t xml:space="preserve">7. barrierefreies Gestalten und Bereitstellen von Maschinen, Geräten, Werkzeugen und Materialien unter Berücksichtigung unterschiedlicher Behinderungsformen und deren individuellen Auswirkungen sowie Erläutern des Gebrauchs der Maschinen, Geräte, Werkzeuge und Materialien unter Beachtung der Anforderungen und Vorgaben zu Arbeitssicherheit, Unfallschutz und Umweltschutz.</w:t>
      </w:r>
    </w:p>
    <w:p>
      <w:r>
        <w:rPr>
          <w:color w:val="555555"/>
          <w:sz w:val="17"/>
        </w:rPr>
        <w:t xml:space="preserve">Zitiervorschlag: § 6 GFABPrV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https://recht.nulegal.eu/gesetze/GFABPrV/6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