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GFABPrV — Handlungsbereich „Berufliche Bildungsprozesse personenzentriert planen, steuern und gestalten“</w:t>
      </w:r>
    </w:p>
    <w:p>
      <w:r>
        <w:rPr>
          <w:color w:val="555555"/>
          <w:sz w:val="18"/>
        </w:rPr>
        <w:t xml:space="preserve">Arbeits- und Berufsförderungsfortbildungsprüfungsverordnung</w:t>
      </w:r>
    </w:p>
    <w:p>
      <w:r>
        <w:rPr>
          <w:color w:val="555555"/>
          <w:sz w:val="18"/>
        </w:rPr>
        <w:t xml:space="preserve">Stand: 10.01.2020 (konsolidierte Textfassung, kein amtliches Inkrafttretensdatum)</w:t>
      </w:r>
    </w:p>
    <w:p>
      <w:r>
        <w:t xml:space="preserve">(1) Im Handlungsbereich „Berufliche Bildungsprozesse personenzentriert planen, steuern und gestalten“ soll die zu prüfende Person nachweisen, dass sie in der Lage ist, Bildungsprozesse, durch die behinderte Menschen berufliche Handlungsfähigkeit erlangen sollen, personenzentriert didaktisch zu planen, zu steuern, durchzuführen, auszuwerten und zu dokumentieren. Hierbei hat die zu prüfende Person anerkannte Methoden anzuwenden sowie habilitative und rehabilitative Aspekte zu berücksichtigen. Die individuellen Bildungsprozesse sind unter Einbeziehung des behinderten Menschen zu gestalten; dabei sind ihm seine Rechte, Interessensvertretungs- und Selbstvertretungsmöglichkeiten zu vermitteln.</w:t>
      </w:r>
    </w:p>
    <w:p>
      <w:r>
        <w:t xml:space="preserve">(2) In diesem Handlungsbereich können folgende Qualifikationsinhalte geprüft werden:</w:t>
      </w:r>
    </w:p>
    <w:p>
      <w:pPr>
        <w:ind w:left="420"/>
      </w:pPr>
      <w:r>
        <w:t xml:space="preserve">1. Erarbeiten eines individuellen, an den Inhalten der anerkannten Ausbildungsberufe orientierten Bildungsplanes, der dem Wunsch- und Wahlrecht und den Kompetenzen des behinderten Menschen entspricht,</w:t>
      </w:r>
    </w:p>
    <w:p>
      <w:pPr>
        <w:ind w:left="420"/>
      </w:pPr>
      <w:r>
        <w:t xml:space="preserve">2. Dokumentieren der Durchführung des Bildungsplanes unter Berücksichtigung des Datenschutzes und der Wahrung der Persönlichkeitsrechte des behinderten Menschen,</w:t>
      </w:r>
    </w:p>
    <w:p>
      <w:pPr>
        <w:ind w:left="420"/>
      </w:pPr>
      <w:r>
        <w:t xml:space="preserve">3. kontinuierliches Anpassen des beruflichen Qualifizierungsprozesses entsprechend den Entwicklungsschritten des behinderten Menschen,</w:t>
      </w:r>
    </w:p>
    <w:p>
      <w:pPr>
        <w:ind w:left="420"/>
      </w:pPr>
      <w:r>
        <w:t xml:space="preserve">4. Gestalten von Lernarrangements nach didaktisch-methodischen Kriterien unter Berücksichtigung von Standards der Qualitätssicherung und der Nachhaltigkeit,</w:t>
      </w:r>
    </w:p>
    <w:p>
      <w:pPr>
        <w:ind w:left="420"/>
      </w:pPr>
      <w:r>
        <w:t xml:space="preserve">5. Erläutern des rechtlichen Status bei Teilhabe am Arbeitsleben insbesondere im Eingangsverfahren, im Berufsbildungs- und im Arbeitsbereich,</w:t>
      </w:r>
    </w:p>
    <w:p>
      <w:pPr>
        <w:ind w:left="420"/>
      </w:pPr>
      <w:r>
        <w:t xml:space="preserve">6. Planen und Durchführen persönlichkeitsförderlicher beruflicher Begleitmaßnahmen,</w:t>
      </w:r>
    </w:p>
    <w:p>
      <w:pPr>
        <w:ind w:left="420"/>
      </w:pPr>
      <w:r>
        <w:t xml:space="preserve">7. Bewerten der Kompetenzen des behinderten Menschen und Ableiten von Empfehlungen für den weiteren Bildungsprozess sowie für Übergänge in andere berufliche Bildungs-, Arbeits- oder Beschäftigungsprozesse oder -verhältnisse,</w:t>
      </w:r>
    </w:p>
    <w:p>
      <w:pPr>
        <w:ind w:left="420"/>
      </w:pPr>
      <w:r>
        <w:t xml:space="preserve">8. Planen, Durchführen und Bewerten betrieblicher Praktika sowie</w:t>
      </w:r>
    </w:p>
    <w:p>
      <w:pPr>
        <w:ind w:left="420"/>
      </w:pPr>
      <w:r>
        <w:t xml:space="preserve">9. Anwenden von Methoden zur Selbstreflexion.</w:t>
      </w:r>
    </w:p>
    <w:p>
      <w:r>
        <w:rPr>
          <w:color w:val="555555"/>
          <w:sz w:val="17"/>
        </w:rPr>
        <w:t xml:space="preserve">Zitiervorschlag: § 5 GFABPrV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https://recht.nulegal.eu/gesetze/GFABPrV/5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