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GFABPrV — Handlungsbereich „Eingliederung und Teilhabe am Arbeitsleben personenzentriert gestalten“</w:t>
      </w:r>
    </w:p>
    <w:p>
      <w:r>
        <w:rPr>
          <w:color w:val="555555"/>
          <w:sz w:val="18"/>
        </w:rPr>
        <w:t xml:space="preserve">Arbeits- und Berufsförderungsfortbildungsprüfungsverordnung</w:t>
      </w:r>
    </w:p>
    <w:p>
      <w:r>
        <w:rPr>
          <w:color w:val="555555"/>
          <w:sz w:val="18"/>
        </w:rPr>
        <w:t xml:space="preserve">Stand: 10.01.2020 (konsolidierte Textfassung, kein amtliches Inkrafttretensdatum)</w:t>
      </w:r>
    </w:p>
    <w:p>
      <w:r>
        <w:t xml:space="preserve">(1) Im Handlungsbereich „Eingliederung und Teilhabe am Arbeitsleben personenzentriert gestalten“ soll die zu prüfende Person nachweisen, dass sie in der Lage ist, unter Einbeziehung des behinderten Menschen personenzentriert den Verlauf der Eingliederung des behinderten Menschen und dessen Teilhabe am Arbeitsleben zu planen und zu gestalten. Dazu muss die zu prüfende Person in der Lage sein, Fähigkeiten und Wünsche des behinderten Menschen zu erkennen, einzuschätzen und zu berücksichtigen sowie Angebote zu Qualifizierung, Beschäftigung und Arbeit zu unterbreiten. Sie muss behinderten Menschen mit geeigneten Methoden Aufgaben und Arbeiten bereitstellen können und aus deren Erledigung Schlussfolgerungen über die Fähigkeiten, Fertigkeiten und Kenntnisse des behinderten Menschen ziehen können.</w:t>
      </w:r>
    </w:p>
    <w:p>
      <w:r>
        <w:t xml:space="preserve">(2) In diesem Handlungsbereich können folgende Qualifikationsinhalte geprüft werden:</w:t>
      </w:r>
    </w:p>
    <w:p>
      <w:pPr>
        <w:ind w:left="420"/>
      </w:pPr>
      <w:r>
        <w:t xml:space="preserve">1. Erstellen eines personenzentrierten Eingliederungsplans unter Einbeziehung des behinderten Menschen und unter Berücksichtigung von Formen der beruflichen Bildung und anderer Qualifizierungen innerhalb und außerhalb der Werkstatt für behinderte Menschen,</w:t>
      </w:r>
    </w:p>
    <w:p>
      <w:pPr>
        <w:ind w:left="420"/>
      </w:pPr>
      <w:r>
        <w:t xml:space="preserve">2. Erarbeiten eines geeigneten Arbeits- und Beschäftigungsangebotes unter Berücksichtigung des individuellen Potentials und der Wünsche des behinderten Menschen; dabei ist eine große Breite des Berufsspektrums unabhängig von geschlechterbezogenen Rollenverständnissen und Rollenzuschreibungen zu vermitteln,</w:t>
      </w:r>
    </w:p>
    <w:p>
      <w:pPr>
        <w:ind w:left="420"/>
      </w:pPr>
      <w:r>
        <w:t xml:space="preserve">3. Unterbreiten und Umsetzen von Vorschlägen für den Prozess der Teilhabe am Arbeitsleben,</w:t>
      </w:r>
    </w:p>
    <w:p>
      <w:pPr>
        <w:ind w:left="420"/>
      </w:pPr>
      <w:r>
        <w:t xml:space="preserve">4. Beobachten und Beurteilen der Kompetenzen des behinderten Menschen unter Berücksichtigung der vielfältigen Beeinträchtigungsformen,</w:t>
      </w:r>
    </w:p>
    <w:p>
      <w:pPr>
        <w:ind w:left="420"/>
      </w:pPr>
      <w:r>
        <w:t xml:space="preserve">5. Anwenden von Methoden und Instrumentarien für eine systematische Beobachtung und Dokumentation insbesondere des Arbeitsverhaltens des behinderten Menschen, seiner Arbeitsleistung, seiner Belastungsfähigkeit, seines Konzentrationsvermögens, seiner Merkfähigkeit, seines Vorstellungsvermögens, seiner motorischen Fertigkeiten, seiner sozialen Kompetenzen und des Grades, zu dem er Kulturtechniken beherrscht,</w:t>
      </w:r>
    </w:p>
    <w:p>
      <w:pPr>
        <w:ind w:left="420"/>
      </w:pPr>
      <w:r>
        <w:t xml:space="preserve">6. Reflektieren und bedarfsgerechtes Anpassen des Teilhabeprozesses,</w:t>
      </w:r>
    </w:p>
    <w:p>
      <w:pPr>
        <w:ind w:left="420"/>
      </w:pPr>
      <w:r>
        <w:t xml:space="preserve">7. Fördern von Übergängen der behinderten Menschen in andere berufliche Bildungs-, Arbeits- oder Beschäftigungsprozesse oder -verhältnisse durch Motivieren, Initiieren, Begleiten und Qualifizieren unter Berücksichtigung und Einbeziehung der am Übergangsprozess intern und extern Beteiligten sowie</w:t>
      </w:r>
    </w:p>
    <w:p>
      <w:pPr>
        <w:ind w:left="420"/>
      </w:pPr>
      <w:r>
        <w:t xml:space="preserve">8. Anwenden anerkannter und geeigneter diagnostischer Verfahren und Instrumente, anhand derer der Eingliederungsplan erstellt wird.</w:t>
      </w:r>
    </w:p>
    <w:p>
      <w:r>
        <w:rPr>
          <w:color w:val="555555"/>
          <w:sz w:val="17"/>
        </w:rPr>
        <w:t xml:space="preserve">Zitiervorschlag: § 4 GFABPrV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https://recht.nulegal.eu/gesetze/GFABPrV/4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