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GFABPrV — Handlungsbereiche</w:t>
      </w:r>
    </w:p>
    <w:p>
      <w:r>
        <w:rPr>
          <w:color w:val="555555"/>
          <w:sz w:val="18"/>
        </w:rPr>
        <w:t xml:space="preserve">Arbeits- und Berufsförderungsfortbildungsprüfungsverordnung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der Prüfung werden die folgenden Handlungsbereiche geprüft:</w:t>
      </w:r>
    </w:p>
    <w:p>
      <w:pPr>
        <w:ind w:left="420"/>
      </w:pPr>
      <w:r>
        <w:t xml:space="preserve">1. Eingliederung und Teilhabe am Arbeitsleben personenzentriert gestalten,</w:t>
      </w:r>
    </w:p>
    <w:p>
      <w:pPr>
        <w:ind w:left="420"/>
      </w:pPr>
      <w:r>
        <w:t xml:space="preserve">2. berufliche Bildungsprozesse personenzentriert planen, steuern und gestalten,</w:t>
      </w:r>
    </w:p>
    <w:p>
      <w:pPr>
        <w:ind w:left="420"/>
      </w:pPr>
      <w:r>
        <w:t xml:space="preserve">3. Arbeits- und Beschäftigungsprozesse personenzentriert planen und steuern sowie Arbeitsplätze personenzentriert gestalten sowie</w:t>
      </w:r>
    </w:p>
    <w:p>
      <w:pPr>
        <w:ind w:left="420"/>
      </w:pPr>
      <w:r>
        <w:t xml:space="preserve">4. Kommunikation und Zusammenarbeit personenzentriert planen, steuern und gestalten.</w:t>
      </w:r>
    </w:p>
    <w:p>
      <w:r>
        <w:rPr>
          <w:color w:val="555555"/>
          <w:sz w:val="17"/>
        </w:rPr>
        <w:t xml:space="preserve">Zitiervorschlag: § 3 GFABPrV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https://recht.nulegal.eu/gesetze/GFABPrV/3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