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GEIG — Größere Renovierung bestehender Nichtwohngebäude mit mehr als zehn Stellplätzen</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(1) Wird ein Nichtwohngebäude, das über mehr als zehn Stellplätze innerhalb des Gebäudes verfügt, einer größeren Renovierung unterzogen, welche den Parkplatz oder die elektrische Infrastruktur des Gebäudes umfasst, so hat der Eigentümer dafür zu sorgen, dass</w:t>
      </w:r>
    </w:p>
    <w:p>
      <w:pPr>
        <w:ind w:left="420"/>
      </w:pPr>
      <w:r>
        <w:t xml:space="preserve">1. mindestens jeder fünfte Stellplatz mit der Leitungsinfrastruktur für die Elektromobilität ausgestattet wird und</w:t>
      </w:r>
    </w:p>
    <w:p>
      <w:pPr>
        <w:ind w:left="420"/>
      </w:pPr>
      <w:r>
        <w:t xml:space="preserve">2. zusätzlich mindestens ein Ladepunkt errichtet wird.</w:t>
      </w:r>
    </w:p>
    <w:p>
      <w:r>
        <w:t xml:space="preserve">(2) Wird ein Nichtwohngebäude, das über mehr als zehn an das Gebäude angrenzende Stellplätze verfügt, einer größeren Renovierung unterzogen, welche den Parkplatz oder die elektrische Infrastruktur des Parkplatzes umfasst, so hat der Eigentümer dafür zu sorgen, dass</w:t>
      </w:r>
    </w:p>
    <w:p>
      <w:pPr>
        <w:ind w:left="420"/>
      </w:pPr>
      <w:r>
        <w:t xml:space="preserve">1. mindestens jeder fünfte Stellplatz mit der Leitungsinfrastruktur für die Elektromobilität ausgestattet wird und</w:t>
      </w:r>
    </w:p>
    <w:p>
      <w:pPr>
        <w:ind w:left="420"/>
      </w:pPr>
      <w:r>
        <w:t xml:space="preserve">2. zusätzlich mindestens ein Ladepunkt errichtet wird.</w:t>
      </w:r>
    </w:p>
    <w:p>
      <w:r>
        <w:rPr>
          <w:color w:val="555555"/>
          <w:sz w:val="17"/>
        </w:rPr>
        <w:t xml:space="preserve">Zitiervorschlag: § 9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