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GEIG — Errichtung eines Ladepunktes</w:t>
      </w:r>
    </w:p>
    <w:p>
      <w:r>
        <w:rPr>
          <w:color w:val="555555"/>
          <w:sz w:val="18"/>
        </w:rPr>
        <w:t xml:space="preserve">Gebäude-Elektromobilitätsinfrastruktur-Gesetz</w:t>
      </w:r>
    </w:p>
    <w:p>
      <w:r>
        <w:rPr>
          <w:color w:val="555555"/>
          <w:sz w:val="18"/>
        </w:rPr>
        <w:t xml:space="preserve">Stand: 25.03.2021 (konsolidierte Textfassung, kein amtliches Inkrafttretensdatum)</w:t>
      </w:r>
    </w:p>
    <w:p>
      <w:r>
        <w:t xml:space="preserve">(1) Bei der Errichtung eines Ladepunktes sind die gesetzlichen Mindestanforderungen an den Aufbau und den Betrieb von Ladepunkten zu beachten.</w:t>
      </w:r>
    </w:p>
    <w:p>
      <w:r>
        <w:t xml:space="preserve">(2) Die Mitteilungspflicht nach § 19 Absatz 2 der Niederspannungsanschlussverordnung vom 1. November 2006 (BGBl. I S. 2477), die zuletzt durch Artikel 3 der Verordnung vom 30. Oktober 2020 (BGBl. I S. 2269) geändert worden ist, ist anzuwenden.</w:t>
      </w:r>
    </w:p>
    <w:p>
      <w:r>
        <w:rPr>
          <w:color w:val="555555"/>
          <w:sz w:val="17"/>
        </w:rPr>
        <w:t xml:space="preserve">Zitiervorschlag: § 5 GEIG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