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GEIG — Begriffsbestimmungen</w:t>
      </w:r>
    </w:p>
    <w:p>
      <w:r>
        <w:rPr>
          <w:color w:val="555555"/>
          <w:sz w:val="18"/>
        </w:rPr>
        <w:t xml:space="preserve">Gebäude-Elektromobilitätsinfrastruktur-Gesetz</w:t>
      </w:r>
    </w:p>
    <w:p>
      <w:r>
        <w:rPr>
          <w:color w:val="555555"/>
          <w:sz w:val="18"/>
        </w:rPr>
        <w:t xml:space="preserve">Stand: 25.03.2021 (konsolidierte Textfassung, kein amtliches Inkrafttretensdatum)</w:t>
      </w:r>
    </w:p>
    <w:p>
      <w:r>
        <w:t xml:space="preserve">Im Sinne dieses Gesetzes ist oder sind</w:t>
      </w:r>
    </w:p>
    <w:p>
      <w:pPr>
        <w:ind w:left="420"/>
      </w:pPr>
      <w:r>
        <w:t xml:space="preserve">1. „Eigentümer“ der Eigentümer des Gebäudes, bei einer Aufteilung nach dem Wohnungseigentumsgesetz auch die Gemeinschaft der Wohnungseigentümer,</w:t>
      </w:r>
    </w:p>
    <w:p>
      <w:pPr>
        <w:ind w:left="420"/>
      </w:pPr>
      <w:r>
        <w:t xml:space="preserve">2. „elektrische Infrastruktur“ der Teil der technischen Ausrüstung, der für den Betrieb aller elektrisch oder elektromotorisch betriebenen Anlagen des Gebäudes oder des Parkplatzes notwendig ist, einschließlich der elektrischen Leitungen, der technischen Komponenten und der damit zusammenhängenden Ausstattung,</w:t>
      </w:r>
    </w:p>
    <w:p>
      <w:pPr>
        <w:ind w:left="420"/>
      </w:pPr>
      <w:r>
        <w:t xml:space="preserve">3. „Elektromobil“ ein elektrisch betriebenes Fahrzeug im Sinne von § 2 Nummer 1 in Verbindung mit § 1 Satz 1 Nummer 1 des Elektromobilitätsgesetzes vom 5. Juni 2015 (BGBl. I S. 898), das durch Artikel 327 der Verordnung vom 19. Juni 2020 (BGBl. I S. 1328) geändert worden ist,</w:t>
      </w:r>
    </w:p>
    <w:p>
      <w:pPr>
        <w:ind w:left="420"/>
      </w:pPr>
      <w:r>
        <w:t xml:space="preserve">4. „Gebäudenutzfläche“ die Nutzfläche eines Wohngebäudes nach DIN V 18599: 2018-09[1], die beheizt oder gekühlt wird,</w:t>
      </w:r>
    </w:p>
    <w:p>
      <w:pPr>
        <w:ind w:left="420"/>
      </w:pPr>
      <w:r>
        <w:t xml:space="preserve">5. „größere Renovierung“ die Renovierung eines Gebäudes, bei der mehr als 25 Prozent der Oberfläche der Gebäudehülle einer Renovierung unterzogen werden,</w:t>
      </w:r>
    </w:p>
    <w:p>
      <w:pPr>
        <w:ind w:left="420"/>
      </w:pPr>
      <w:r>
        <w:t xml:space="preserve">6. „kleine und mittlere Unternehmen“ Unternehmen im Sinne der Definition in Titel I des Anhangs der Empfehlung 2003/361/EG der Kommission vom 6. Mai 2003 betreffend die Definition der Kleinstunternehmen sowie der kleinen und mittleren Unternehmen (ABl. L 124 vom 20.5.2003, S. 36),</w:t>
      </w:r>
    </w:p>
    <w:p>
      <w:pPr>
        <w:ind w:left="420"/>
      </w:pPr>
      <w:r>
        <w:t xml:space="preserve">7. „Kraftfahrzeuge“ Fahrzeuge im Sinne von § 1a Absatz 2 und 3 des Straßenverkehrsgesetzes in der Fassung der Bekanntmachung vom 5. März 2003 (BGBl. I S. 310, 919), das zuletzt durch Artikel 3 des Gesetzes vom 26. November 2020 (BGBl. I S. 2575) geändert worden ist,</w:t>
      </w:r>
    </w:p>
    <w:p>
      <w:pPr>
        <w:ind w:left="420"/>
      </w:pPr>
      <w:r>
        <w:t xml:space="preserve">8. „Ladeinfrastruktur“ die Summe aller elektrotechnischen Verbindungen, Mess-, Steuer- und Regelungseinrichtungen, einschließlich Überstrom- und Überspannungsschutzeinrichtungen, die zur Installation, zum Betrieb und zur Steuerung von Ladepunkten für die Elektromobilität notwendig sind,</w:t>
      </w:r>
    </w:p>
    <w:p>
      <w:pPr>
        <w:ind w:left="420"/>
      </w:pPr>
      <w:r>
        <w:t xml:space="preserve">9. „Ladepunkt“ eine Einrichtung, die zum Aufladen von Elektromobilen geeignet und bestimmt ist und an der zur gleichen Zeit nur ein Elektromobil aufgeladen werden kann,</w:t>
      </w:r>
    </w:p>
    <w:p>
      <w:pPr>
        <w:ind w:left="420"/>
      </w:pPr>
      <w:r>
        <w:t xml:space="preserve">10. „Leitungsinfrastruktur“ die Gesamtheit aller Leitungsführungen zur Aufnahme von elektro- und datentechnischen Leitungen in Gebäuden oder im räumlichen Zusammenhang von Gebäuden vom Stellplatz über den Zählpunkt eines Anschlussnutzers bis zu den Schutzelementen,</w:t>
      </w:r>
    </w:p>
    <w:p>
      <w:pPr>
        <w:ind w:left="420"/>
      </w:pPr>
      <w:r>
        <w:t xml:space="preserve">11. „Nettogrundfläche“ die Nutzfläche eines Nichtwohngebäudes nach DIN V 18599: 2018-09, die beheizt oder gekühlt wird,</w:t>
      </w:r>
    </w:p>
    <w:p>
      <w:pPr>
        <w:ind w:left="420"/>
      </w:pPr>
      <w:r>
        <w:t xml:space="preserve">12. „Nichtwohngebäude“ ein Gebäude, das kein Wohngebäude nach Nummer 15 ist,</w:t>
      </w:r>
    </w:p>
    <w:p>
      <w:pPr>
        <w:ind w:left="420"/>
      </w:pPr>
      <w:r>
        <w:t xml:space="preserve">13. „Parkplatz“ eine zusammenhängende Fläche, die aus mehreren Stellplätzen besteht,</w:t>
      </w:r>
    </w:p>
    <w:p>
      <w:pPr>
        <w:ind w:left="420"/>
      </w:pPr>
      <w:r>
        <w:t xml:space="preserve">14. „Stellplatz“ eine Fläche, die dem Abstellen eines Kraftfahrzeugs außerhalb der öffentlichen Verkehrsflächen dient, wobei Ausstellungs-, Verkaufs-, Werk- und Lagerräume für Kraftfahrzeuge keine Stellplätze sind,</w:t>
      </w:r>
    </w:p>
    <w:p>
      <w:pPr>
        <w:ind w:left="420"/>
      </w:pPr>
      <w:r>
        <w:t xml:space="preserve">15. „Wohngebäude“ ein Gebäude, das nach seiner Zweckbestimmung überwiegend dem Wohnen dient, einschließlich Wohn-, Alten- und Pflegeheimen sowie ähnlicher Einrichtungen.</w:t>
      </w:r>
    </w:p>
    <w:p>
      <w:r>
        <w:t xml:space="preserve">1 Amtlicher Hinweis: Alle zitierten DIN-Vornormen und -Normen sind im Beuth-Verlag GmbH, Berlin, veröffentlicht und beim Deutschen Patent- und Markenamt in München archivmäßig gesichert niedergelegt.</w:t>
      </w:r>
    </w:p>
    <w:p>
      <w:r>
        <w:rPr>
          <w:color w:val="555555"/>
          <w:sz w:val="17"/>
        </w:rPr>
        <w:t xml:space="preserve">Zitiervorschlag: § 2 GEIG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https://recht.nulegal.eu/gesetze/GEIG/2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