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GEIG — Bußgeldvorschriften</w:t>
      </w:r>
    </w:p>
    <w:p>
      <w:r>
        <w:rPr>
          <w:color w:val="555555"/>
          <w:sz w:val="18"/>
        </w:rPr>
        <w:t xml:space="preserve">Gebäude-Elektromobilitätsinfrastruktur-Gesetz</w:t>
      </w:r>
    </w:p>
    <w:p>
      <w:r>
        <w:rPr>
          <w:color w:val="555555"/>
          <w:sz w:val="18"/>
        </w:rPr>
        <w:t xml:space="preserve">Stand: 25.03.2021 (konsolidierte Textfassung, kein amtliches Inkrafttretensdatum)</w:t>
      </w:r>
    </w:p>
    <w:p>
      <w:r>
        <w:t xml:space="preserve">(1) Ordnungswidrig handelt, wer vorsätzlich oder leichtfertig</w:t>
      </w:r>
    </w:p>
    <w:p>
      <w:pPr>
        <w:ind w:left="420"/>
      </w:pPr>
      <w:r>
        <w:t xml:space="preserve">1. entgegen § 6 oder § 8 nicht dafür sorgt, dass jeder Stellplatz mit der Leitungsinfrastruktur für die Elektromobilität ausgestattet wird,</w:t>
      </w:r>
    </w:p>
    <w:p>
      <w:pPr>
        <w:ind w:left="420"/>
      </w:pPr>
      <w:r>
        <w:t xml:space="preserve">2. entgegen § 7 nicht dafür sorgt, dass mindestens jeder dritte Stellplatz mit der Leitungsinfrastruktur für die Elektromobilität ausgestattet und mindestens ein Ladepunkt errichtet wird,</w:t>
      </w:r>
    </w:p>
    <w:p>
      <w:pPr>
        <w:ind w:left="420"/>
      </w:pPr>
      <w:r>
        <w:t xml:space="preserve">3. entgegen § 9 nicht dafür sorgt, dass mindestens jeder fünfte Stellplatz mit der Leitungsinfrastruktur für die Elektromobilität ausgestattet und mindestens ein Ladepunkt errichtet wird, oder</w:t>
      </w:r>
    </w:p>
    <w:p>
      <w:pPr>
        <w:ind w:left="420"/>
      </w:pPr>
      <w:r>
        <w:t xml:space="preserve">4. entgegen § 10 nicht dafür sorgt, dass ein Ladepunkt errichtet wird.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15 GEIG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