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GEIG — Ausnahmen</w:t>
      </w:r>
    </w:p>
    <w:p>
      <w:r>
        <w:rPr>
          <w:color w:val="555555"/>
          <w:sz w:val="18"/>
        </w:rPr>
        <w:t xml:space="preserve">Gebäude-Elektromobilitätsinfrastruktur-Gesetz</w:t>
      </w:r>
    </w:p>
    <w:p>
      <w:r>
        <w:rPr>
          <w:color w:val="555555"/>
          <w:sz w:val="18"/>
        </w:rPr>
        <w:t xml:space="preserve">Stand: 25.03.2021 (konsolidierte Textfassung, kein amtliches Inkrafttretensdatum)</w:t>
      </w:r>
    </w:p>
    <w:p>
      <w:r>
        <w:t xml:space="preserve">(1) Sofern bei einer größeren Renovierung eines bestehenden Gebäudes die Kosten für die Lade- und Leitungsinfrastruktur 7 Prozent der Gesamtkosten der größeren Renovierung des Gebäudes überschreiten, sind die §§ 8 bis 10 nicht anzuwenden.</w:t>
      </w:r>
    </w:p>
    <w:p>
      <w:r>
        <w:t xml:space="preserve">(2) Öffentliche Gebäude, die gemäß der Umsetzung der Richtlinie 2014/94/EU des Europäischen Parlaments und des Rates vom 22. Oktober 2014 über den Aufbau der Infrastruktur für alternative Kraftstoffe (ABl. L 307 vom 28.10.2014, S. 1), die zuletzt durch die Delegierte Verordnung (EU) 2019/1745 (ABl. L 268 vom 22.10.2019, S. 1) geändert worden ist, bereits vergleichbaren Anforderungen unterliegen, sind von der Anwendung der §§ 6 bis 10 ausgenommen.</w:t>
      </w:r>
    </w:p>
    <w:p>
      <w:r>
        <w:rPr>
          <w:color w:val="555555"/>
          <w:sz w:val="17"/>
        </w:rPr>
        <w:t xml:space="preserve">Zitiervorschlag: § 14 GEIG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