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GEIG — Anwendungsbereich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(1) Dieses Gesetz regelt die Errichtung von und die Ausstattung mit der vorbereitenden Leitungsinfrastruktur und der Ladeinfrastruktur für die Elektromobilität in zu errichtenden und bestehenden Gebäuden.</w:t>
      </w:r>
    </w:p>
    <w:p>
      <w:r>
        <w:t xml:space="preserve">(2) Dieses Gesetz ist nicht anzuwenden auf Nichtwohngebäude, die sich im Eigentum von kleinen und mittleren Unternehmen befinden und überwiegend von diesen selbst genutzt werden.</w:t>
      </w:r>
    </w:p>
    <w:p>
      <w:r>
        <w:rPr>
          <w:color w:val="555555"/>
          <w:sz w:val="17"/>
        </w:rPr>
        <w:t xml:space="preserve">Zitiervorschlag: § 1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