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GEG — (zu § 18 Absatz 1) Technische Ausführung des Referenzgebäudes (Nichtwohngebäude)</w:t>
      </w:r>
    </w:p>
    <w:p>
      <w:r>
        <w:rPr>
          <w:color w:val="555555"/>
          <w:sz w:val="18"/>
        </w:rPr>
        <w:t xml:space="preserve">Gebäudemodernisierungsgesetz</w:t>
      </w:r>
    </w:p>
    <w:p>
      <w:r>
        <w:rPr>
          <w:color w:val="555555"/>
          <w:sz w:val="18"/>
        </w:rPr>
        <w:t xml:space="preserve">Stand: 06.11.2020 (konsolidierte Textfassung, kein amtliches Inkrafttretensdatum)</w:t>
      </w:r>
    </w:p>
    <w:p>
      <w:r>
        <w:t xml:space="preserve">(Fundstelle: BGBl. I 2020, 1769 - 1773)</w:t>
      </w:r>
    </w:p>
    <w:p>
      <w:r>
        <w:rPr>
          <w:rFonts w:ascii="Courier New" w:hAnsi="Courier New"/>
          <w:sz w:val="17"/>
        </w:rPr>
        <w:t xml:space="preserve">Nummer    Bauteile/Systeme    Eigenschaft (zu den Nummern 1.1 bis 1.13)    Referenzausführung/Wert (Maßeinheit)</w:t>
      </w:r>
    </w:p>
    <w:p>
      <w:r>
        <w:rPr>
          <w:rFonts w:ascii="Courier New" w:hAnsi="Courier New"/>
          <w:sz w:val="17"/>
        </w:rPr>
        <w:t xml:space="preserve">        Raum-Solltemperaturenim Heizfall ≥ 19 °C    Raum-Solltemperaturenim Heizfall von 12 bis &lt; 19 °C</w:t>
      </w:r>
    </w:p>
    <w:p>
      <w:r>
        <w:rPr>
          <w:rFonts w:ascii="Courier New" w:hAnsi="Courier New"/>
          <w:sz w:val="17"/>
        </w:rPr>
        <w:t xml:space="preserve">1.1    Außenwand (einschließlich Einbauten, wie Rollladen-kästen), Geschossdeckegegen Außenluft    Wärmedurchgangskoeffizient    U = 0,28 W/(m2·K)    U = 0,35 W/(m2·K)</w:t>
      </w:r>
    </w:p>
    <w:p>
      <w:r>
        <w:rPr>
          <w:rFonts w:ascii="Courier New" w:hAnsi="Courier New"/>
          <w:sz w:val="17"/>
        </w:rPr>
        <w:t xml:space="preserve">1.2    Vorhangfassade(siehe auch Nummer 1.14)    Wärmedurchgangskoeffizient    U = 1,4 W/(m2·K)    U = 1,9 W/(m2·K)</w:t>
      </w:r>
    </w:p>
    <w:p>
      <w:r>
        <w:rPr>
          <w:rFonts w:ascii="Courier New" w:hAnsi="Courier New"/>
          <w:sz w:val="17"/>
        </w:rPr>
        <w:t xml:space="preserve">Gesamtenergiedurchlassgrad der Verglasung    g = 0,48    g = 0,60</w:t>
      </w:r>
    </w:p>
    <w:p>
      <w:r>
        <w:rPr>
          <w:rFonts w:ascii="Courier New" w:hAnsi="Courier New"/>
          <w:sz w:val="17"/>
        </w:rPr>
        <w:t xml:space="preserve">Lichttransmissionsgrad der Verglasung    τv,D65,SNA = 0,72    τv,D65,SNA = 0,78</w:t>
      </w:r>
    </w:p>
    <w:p>
      <w:r>
        <w:rPr>
          <w:rFonts w:ascii="Courier New" w:hAnsi="Courier New"/>
          <w:sz w:val="17"/>
        </w:rPr>
        <w:t xml:space="preserve">1.3    Wand gegen Erdreich,Bodenplatte, Wände und Decken zu unbeheiztenRäumen (außer Abseitenwände nach Nummer 1.4)    Wärmedurchgangskoeffizient    U = 0,35 W/(m2·K)    U = 0,35 W/(m2·K)</w:t>
      </w:r>
    </w:p>
    <w:p>
      <w:r>
        <w:rPr>
          <w:rFonts w:ascii="Courier New" w:hAnsi="Courier New"/>
          <w:sz w:val="17"/>
        </w:rPr>
        <w:t xml:space="preserve">1.4    Dach (soweit nicht unter Nummer 1.5), oberste Geschossdecke, Wände zuAbseiten    Wärmedurchgangskoeffizient    U = 0,20 W/(m2·K)    U = 0,35 W/(m2·K)</w:t>
      </w:r>
    </w:p>
    <w:p>
      <w:r>
        <w:rPr>
          <w:rFonts w:ascii="Courier New" w:hAnsi="Courier New"/>
          <w:sz w:val="17"/>
        </w:rPr>
        <w:t xml:space="preserve">1.5    Glasdächer    Wärmedurchgangskoeffizient    UW = 2,7 W/(m2·K)    UW = 2,7 W/(m2·K)</w:t>
      </w:r>
    </w:p>
    <w:p>
      <w:r>
        <w:rPr>
          <w:rFonts w:ascii="Courier New" w:hAnsi="Courier New"/>
          <w:sz w:val="17"/>
        </w:rPr>
        <w:t xml:space="preserve">Gesamtenergiedurchlassgrad der Verglasung    g = 0,63    g = 0,63</w:t>
      </w:r>
    </w:p>
    <w:p>
      <w:r>
        <w:rPr>
          <w:rFonts w:ascii="Courier New" w:hAnsi="Courier New"/>
          <w:sz w:val="17"/>
        </w:rPr>
        <w:t xml:space="preserve">Lichttransmissionsgrad der Verglasung    τv,D65,SNA = 0,76    τv,D65,SNA = 0,76</w:t>
      </w:r>
    </w:p>
    <w:p>
      <w:r>
        <w:rPr>
          <w:rFonts w:ascii="Courier New" w:hAnsi="Courier New"/>
          <w:sz w:val="17"/>
        </w:rPr>
        <w:t xml:space="preserve">1.6    Lichtbänder    Wärmedurchgangskoeffizient    UW = 2,4 W/(m2·K)    UW = 2,4 W/(m2·K)</w:t>
      </w:r>
    </w:p>
    <w:p>
      <w:r>
        <w:rPr>
          <w:rFonts w:ascii="Courier New" w:hAnsi="Courier New"/>
          <w:sz w:val="17"/>
        </w:rPr>
        <w:t xml:space="preserve">Gesamtenergiedurchlassgrad der Verglasung    g = 0,55    g = 0,55</w:t>
      </w:r>
    </w:p>
    <w:p>
      <w:r>
        <w:rPr>
          <w:rFonts w:ascii="Courier New" w:hAnsi="Courier New"/>
          <w:sz w:val="17"/>
        </w:rPr>
        <w:t xml:space="preserve">Lichttransmissionsgrad der Verglasung    τv,D65,SNA = 0,48    τv,D65,SNA = 0,48</w:t>
      </w:r>
    </w:p>
    <w:p>
      <w:r>
        <w:rPr>
          <w:rFonts w:ascii="Courier New" w:hAnsi="Courier New"/>
          <w:sz w:val="17"/>
        </w:rPr>
        <w:t xml:space="preserve">1.7    Lichtkuppeln    Wärmedurchgangskoeffizient    UW = 2,7 W/(m2·K)    UW = 2,7 W/(m2·K)</w:t>
      </w:r>
    </w:p>
    <w:p>
      <w:r>
        <w:rPr>
          <w:rFonts w:ascii="Courier New" w:hAnsi="Courier New"/>
          <w:sz w:val="17"/>
        </w:rPr>
        <w:t xml:space="preserve">Gesamtenergiedurchlassgrad der Verglasung    g = 0,64    g = 0,64</w:t>
      </w:r>
    </w:p>
    <w:p>
      <w:r>
        <w:rPr>
          <w:rFonts w:ascii="Courier New" w:hAnsi="Courier New"/>
          <w:sz w:val="17"/>
        </w:rPr>
        <w:t xml:space="preserve">Lichttransmissionsgrad der Verglasung    τv,D65,SNA = 0,59    τv,D65,SNA = 0,59</w:t>
      </w:r>
    </w:p>
    <w:p>
      <w:r>
        <w:rPr>
          <w:rFonts w:ascii="Courier New" w:hAnsi="Courier New"/>
          <w:sz w:val="17"/>
        </w:rPr>
        <w:t xml:space="preserve">1.8    Fenster, Fenstertüren(siehe auch Nummer 1.14)    Wärmedurchgangskoeffizient    UW = 1,3 W/(m2·K)    UW = 1,9 W/(m2·K)</w:t>
      </w:r>
    </w:p>
    <w:p>
      <w:r>
        <w:rPr>
          <w:rFonts w:ascii="Courier New" w:hAnsi="Courier New"/>
          <w:sz w:val="17"/>
        </w:rPr>
        <w:t xml:space="preserve">Gesamtenergiedurchlassgrad der Verglasung    g = 0,60    g = 0,60</w:t>
      </w:r>
    </w:p>
    <w:p>
      <w:r>
        <w:rPr>
          <w:rFonts w:ascii="Courier New" w:hAnsi="Courier New"/>
          <w:sz w:val="17"/>
        </w:rPr>
        <w:t xml:space="preserve">Lichttransmissionsgrad der Verglasung    τv,D65,SNA = 0,78    τv,D65,SNA = 0,78</w:t>
      </w:r>
    </w:p>
    <w:p>
      <w:r>
        <w:rPr>
          <w:rFonts w:ascii="Courier New" w:hAnsi="Courier New"/>
          <w:sz w:val="17"/>
        </w:rPr>
        <w:t xml:space="preserve">1.9    Dachflächenfenster(siehe auch Nummer 1.14)    Wärmedurchgangskoeffizient    UW = 1,4 W/(m2·K)    UW = 1,9 W/(m2·K)</w:t>
      </w:r>
    </w:p>
    <w:p>
      <w:r>
        <w:rPr>
          <w:rFonts w:ascii="Courier New" w:hAnsi="Courier New"/>
          <w:sz w:val="17"/>
        </w:rPr>
        <w:t xml:space="preserve">Gesamtenergiedurchlassgrad der Verglasung    g = 0,60    g = 0,60</w:t>
      </w:r>
    </w:p>
    <w:p>
      <w:r>
        <w:rPr>
          <w:rFonts w:ascii="Courier New" w:hAnsi="Courier New"/>
          <w:sz w:val="17"/>
        </w:rPr>
        <w:t xml:space="preserve">Lichttransmissionsgrad der Verglasung    τv,D65,SNA = 0,78    τv,D65,SNA = 0,78</w:t>
      </w:r>
    </w:p>
    <w:p>
      <w:r>
        <w:rPr>
          <w:rFonts w:ascii="Courier New" w:hAnsi="Courier New"/>
          <w:sz w:val="17"/>
        </w:rPr>
        <w:t xml:space="preserve">1.10    Außentüren; Türen gegen unbeheizte Räume; Tore    Wärmedurchgangskoeffizient    U = 1,8 W/(m2·K)    U = 2,9 W/(m2·K)</w:t>
      </w:r>
    </w:p>
    <w:p>
      <w:r>
        <w:rPr>
          <w:rFonts w:ascii="Courier New" w:hAnsi="Courier New"/>
          <w:sz w:val="17"/>
        </w:rPr>
        <w:t xml:space="preserve">1.11    Bauteile in den Nummern 1.1und 1.3 bis 1.10    Wärmebrückenzuschlag    ΔUWB =0,05 W/(m2·K)    ΔUWB =0,1 W/(m2·K)</w:t>
      </w:r>
    </w:p>
    <w:p>
      <w:r>
        <w:rPr>
          <w:rFonts w:ascii="Courier New" w:hAnsi="Courier New"/>
          <w:sz w:val="17"/>
        </w:rPr>
        <w:t xml:space="preserve">1.12    Gebäudedichtheit    Kategorie nach DIN V 18599-2: 2018-09 Tabelle 7    Kategorie I</w:t>
      </w:r>
    </w:p>
    <w:p>
      <w:r>
        <w:rPr>
          <w:rFonts w:ascii="Courier New" w:hAnsi="Courier New"/>
          <w:sz w:val="17"/>
        </w:rPr>
        <w:t xml:space="preserve">1.13    Tageslichtversorgung bei Sonnen- oder Blendschutz oder bei Sonnen- und Blendschutz    Tageslichtversorgungsfaktor CTL,Vers,SA nach DIN V 18599-4: 2018-09    •kein Sonnen- oder Blendschutz vorhanden: 0,70•Blendschutz vorhanden: 0,15</w:t>
      </w:r>
    </w:p>
    <w:p>
      <w:r>
        <w:rPr>
          <w:rFonts w:ascii="Courier New" w:hAnsi="Courier New"/>
          <w:sz w:val="17"/>
        </w:rPr>
        <w:t xml:space="preserve">1.14    Sonnenschutzvorrichtung    Für das Referenzgebäude ist die tatsächliche Sonnenschutzvorrichtung des zu errichtenden Gebäudes anzunehmen; sie ergibt sich gegebenenfalls aus den Anforderungen zum sommerlichen Wärmeschutz nach § 14 oder aus Erfordernissen des Blendschutzes. Soweit hierfür Sonnenschutzverglasung zum Einsatz kommt, sind für diese Verglasung folgende Kennwerte anzusetzen: •anstelle der Werte der Nummer 1.2 –Gesamtenergiedurchlassgrad derVerglasung g g = 0,35–Lichttransmissionsgrad derVerglasung τv,D65,SNA τv,D65,SNA = 0,58•anstelle der Werte der Nummern 1.8 und 1.9: –Gesamtenergiedurchlassgrad derVerglasung g g = 0,35–Lichttransmissionsgrad derVerglasung τv,D65,SNA τv,D65,SNA = 0,62</w:t>
      </w:r>
    </w:p>
    <w:p>
      <w:r>
        <w:rPr>
          <w:rFonts w:ascii="Courier New" w:hAnsi="Courier New"/>
          <w:sz w:val="17"/>
        </w:rPr>
        <w:t xml:space="preserve">2    Solare Wärmegewinne über opake Bauteile    Wie beim zu errichtenden Gebäude</w:t>
      </w:r>
    </w:p>
    <w:p>
      <w:r>
        <w:rPr>
          <w:rFonts w:ascii="Courier New" w:hAnsi="Courier New"/>
          <w:sz w:val="17"/>
        </w:rPr>
        <w:t xml:space="preserve">3.1    Beleuchtungsart    direkt/indirekt mit elektronischem Vorschaltgerät und stabförmiger Leuchtstofflampe</w:t>
      </w:r>
    </w:p>
    <w:p>
      <w:r>
        <w:rPr>
          <w:rFonts w:ascii="Courier New" w:hAnsi="Courier New"/>
          <w:sz w:val="17"/>
        </w:rPr>
        <w:t xml:space="preserve">3.2    Regelung der Beleuchtung    Präsenzkontrolle: –in Zonen der Nutzungen 4, 15 bis 19, 21und 31*: mit Präsenzmelder–im Übrigen: manuellKonstantlichtkontrolle/tageslichtabhängige Kontrolle: –in Zonen der Nutzungen 5, 9, 10, 14, 22.1 bis 22.3, 29, 37 bis 40*:Konstantlichtkontrolle gemäß DIN V 18599-4: 2018-09 Abschnitt 5.4.6–in Zonen der Nutzungen 1 bis 4, 8, 12, 28, 31 und 36*:tageslichtabhängige Kontrolle, Kontrollart „gedimmt, nicht ausschaltend“ gemäß DIN V 18599-4: 2018-09 Abschnitt 5.5.4 (einschließlich Konstantlichtkontrolle)–im Übrigen: manuell</w:t>
      </w:r>
    </w:p>
    <w:p>
      <w:r>
        <w:rPr>
          <w:rFonts w:ascii="Courier New" w:hAnsi="Courier New"/>
          <w:sz w:val="17"/>
        </w:rPr>
        <w:t xml:space="preserve">4.1    Heizung (Raumhöhen ≤ 4 m) –Wärmeerzeuger    Brennwertkessel (verbessert, nach 1994) nach DIN V 18599-5: 2018-09, Erdgas, Aufstellung außerhalb der thermischen Hülle, Wasserinhalt&gt; 0,15 l/kW</w:t>
      </w:r>
    </w:p>
    <w:p>
      <w:r>
        <w:rPr>
          <w:rFonts w:ascii="Courier New" w:hAnsi="Courier New"/>
          <w:sz w:val="17"/>
        </w:rPr>
        <w:t xml:space="preserve">4.2    Heizung (Raumhöhen ≤ 4 m) –Wärmeverteilung    –bei statischer Heizung und Umluftheizung (dezentrale Nachheizung in RLT-Anlage): Zweirohrnetz, außen liegende Verteilleitungen im unbeheizten Bereich, innen liegende Steigstränge, innen liegende Anbindeleitungen, Systemtemperatur 55/45 °C, ausschließlich statisch hydraulisch abgeglichen, Δp const, Pumpe auf Bedarf ausgelegt, Pumpe mit intermittierendem Betrieb, keine Überströmventile, für den Referenzfall sind die Rohrleitungslängen und die Umgebungstemperaturen gemäß den Standardwerten nach DIN V 18599-5: 2018-09 zu ermitteln.–bei zentralem RLT-Gerät: Zweirohrnetz, Systemtemperatur 70/55 °C, ausschließlich statisch hydraulisch abgeglichen, Δp const, Pumpe auf Bedarf ausgelegt, für den Referenzfall sind die Rohrleitungslängen und die Lage der Rohrleitungen wie beim zu errichtenden Gebäude anzunehmen.</w:t>
      </w:r>
    </w:p>
    <w:p>
      <w:r>
        <w:rPr>
          <w:rFonts w:ascii="Courier New" w:hAnsi="Courier New"/>
          <w:sz w:val="17"/>
        </w:rPr>
        <w:t xml:space="preserve">4.3    Heizung (Raumhöhen ≤ 4 m) –Wärmeübergabe    –bei statischer Heizung: freie Heizflächen an der Außenwand (bei Anordnung vor Glasflächen mit Strahlungsschutz), ausschließlich statisch hydraulisch abgeglichen, P-Regler (nicht zertifiziert), keine Hilfsenergie–bei Umluftheizung (dezentrale Nachheizung in RLT-Anlage): Regelgröße Raumtemperatur, hohe Regelgüte.</w:t>
      </w:r>
    </w:p>
    <w:p>
      <w:r>
        <w:rPr>
          <w:rFonts w:ascii="Courier New" w:hAnsi="Courier New"/>
          <w:sz w:val="17"/>
        </w:rPr>
        <w:t xml:space="preserve">4.4    Heizung (Raumhöhen &gt; 4 m)    Dezentrales Heizsystem: Wärmeerzeuger gemäß DIN V 18599-5: 2018-09 Tabelle 52: –Dezentraler Warmlufterzeuger–nicht kondensierend–Leistung 25 bis 50 kW je Gerät–Energieträger Erdgas–Leistungsregelung 1 (einstufig oder mehrstufig/modulierend ohne Anpassung der Verbrennungsluftmenge)Wärmeübergabe gemäß DIN V 18599-5: 2018-09 Tabelle 16 und Tabelle 22: –Radialventilator, Auslass horizontal, ohne Warmluftrückführung, Raumtemperaturregelung P-Regler (nicht zertifiziert)</w:t>
      </w:r>
    </w:p>
    <w:p>
      <w:r>
        <w:rPr>
          <w:rFonts w:ascii="Courier New" w:hAnsi="Courier New"/>
          <w:sz w:val="17"/>
        </w:rPr>
        <w:t xml:space="preserve">5.1    Warmwasser –zentrales System    Wärmeerzeuger: allgemeine Randbedingungen gemäß DIN V 18599-8: 2018-09 Tabelle 6, Solaranlage mit Flachkollektor (nach 1998) zur ausschließlichen Trinkwassererwärmung nach DIN V 18599-8: 2018-09 mit Standardwerten gemäß Tabelle 19 bzw. Abschnitt 6.4.3, jedoch abweichend auch für zentral warmwasserversorgte Nettogrundflächen über 3 000 m2Restbedarf über Wärmeerzeuger der HeizungWärmespeicherung: bivalenter, außerhalb der thermischen Hülle aufgestellter Speicher nach DIN V 18599-8: 2018-09 Abschnitt 6.4.3Wärmeverteilung: mit Zirkulation, für den Referenzfall sind die Rohrleitungslänge und die Lage der Rohrleitungen wie beim zu errichtenden Gebäude anzunehmen.</w:t>
      </w:r>
    </w:p>
    <w:p>
      <w:r>
        <w:rPr>
          <w:rFonts w:ascii="Courier New" w:hAnsi="Courier New"/>
          <w:sz w:val="17"/>
        </w:rPr>
        <w:t xml:space="preserve">5.2    Warmwasser –dezentrales System    hydraulisch geregelter Elektro-Durchlauferhitzer, eine Zapfstelle und 6 Meter Leitungslänge pro Gerät bei Gebäudezonen, die einen Warmwasserbedarf von höchstens 200 Wh / (m2 · d) aufweisen</w:t>
      </w:r>
    </w:p>
    <w:p>
      <w:r>
        <w:rPr>
          <w:rFonts w:ascii="Courier New" w:hAnsi="Courier New"/>
          <w:sz w:val="17"/>
        </w:rPr>
        <w:t xml:space="preserve">6.1    Raumlufttechnik –Abluftanlage    spezifische Leistungsaufnahme Ventilator PSFP = 1,0 kW/(m3/s)</w:t>
      </w:r>
    </w:p>
    <w:p>
      <w:r>
        <w:rPr>
          <w:rFonts w:ascii="Courier New" w:hAnsi="Courier New"/>
          <w:sz w:val="17"/>
        </w:rPr>
        <w:t xml:space="preserve">6.2    Raumlufttechnik –Zu- und Abluftanlage    –Luftvolumenstromregelung:Soweit für Zonen der Nutzungen 4, 8, 9, 12, 13, 23, 24, 35, 37 und 40* eine Zu- und Abluftanlage vorgesehen wird, ist diese mit bedarfsabhängiger Luftvolumenstromregelung Kategorie IDA-C4 gemäß DIN V 18599-7: 2018-09 Abschnitt 5.8.1 auszulegen.–Spezifische Leistungsaufnahme: –Zuluftventilator PSFP = 1,5 kW/(m3/s)–Abluftventilator PSFP = 1,0 kW/(m3/s) Erweiterte PSFP-Zuschläge nach DIN EN 16798-3: 2017-11 Abschnitt 9.5.2.2 können für HEPA-Filter, Gasfilter sowie Wärmerückführungsbauteile der Klassen H2 oder H1 nach DIN EN 13053:2007-11 angerechnet werden.–Wärmerückgewinnung über Plattenwärmeübertrager:Temperaturänderungsgrad ηt,comp = 0,6Zulufttemperatur 18 °CDruckverhältniszahl fP = 0,4–Luftkanalführung: innerhalb des Gebäudes–bei Kühlfunktion: Auslegung für 6/12 °C, keine indirekte Verdunstungskühlung</w:t>
      </w:r>
    </w:p>
    <w:p>
      <w:r>
        <w:rPr>
          <w:rFonts w:ascii="Courier New" w:hAnsi="Courier New"/>
          <w:sz w:val="17"/>
        </w:rPr>
        <w:t xml:space="preserve">6.3    Raumlufttechnik –Luftbefeuchtung    für den Referenzfall ist die Einrichtung zur Luftbefeuchtung wie beim zu errichtenden Gebäude anzunehmen</w:t>
      </w:r>
    </w:p>
    <w:p>
      <w:r>
        <w:rPr>
          <w:rFonts w:ascii="Courier New" w:hAnsi="Courier New"/>
          <w:sz w:val="17"/>
        </w:rPr>
        <w:t xml:space="preserve">6.4    Raumlufttechnik –Nur-Luft-Klimaanlagen    als kühllastgeregeltes Variabel-Volumenstrom-System ausgeführt: Druckverhältniszahl: fP = 0,4 konstanter VordruckLuftkanalführung: innerhalb des Gebäudes</w:t>
      </w:r>
    </w:p>
    <w:p>
      <w:r>
        <w:rPr>
          <w:rFonts w:ascii="Courier New" w:hAnsi="Courier New"/>
          <w:sz w:val="17"/>
        </w:rPr>
        <w:t xml:space="preserve">7    Raumkühlung    –Kältesystem:Kaltwasser-Ventilatorkonvektor, Brüstungsgerät Kaltwassertemperatur 14/18 °C–Kaltwasserkreis Raumkühlung:Überströmung 10 % spezifische elektrische Leistung der Verteilung Pd,spez = 30 Wel/kWKälte hydraulisch abgeglichen, geregelte Pumpe, Pumpe hydraulisch entkoppelt, saisonale sowie Nacht- und Wochenendabschaltung nachDIN V 18599-7: 2018-09, Anhang D</w:t>
      </w:r>
    </w:p>
    <w:p>
      <w:r>
        <w:rPr>
          <w:rFonts w:ascii="Courier New" w:hAnsi="Courier New"/>
          <w:sz w:val="17"/>
        </w:rPr>
        <w:t xml:space="preserve">8    Kälteerzeugung    Erzeuger: Kolben/Scrollverdichter mehrstufig schaltbar, R134a, außenluftgekühlt, kein Speicher, Baualterfaktor fc,B = 1,0, Freikühlfaktor fFC = 1,0Kaltwassertemperatur:–bei mehr als 5 000 m2 mittels Raumkühlung konditionierter Nettogrundfläche, für diesen Konditionierungsanteil 14/18 °C–im Übrigen: 6/12 °CKaltwasserkreis Erzeuger inklusive RLT-Kühlung: Überströmung 30 % spezifische elektrische Leistung der Verteilung Pd,spez = 20 Wel/kWKältehydraulisch abgeglichen, ungeregelte Pumpe, Pumpe hydraulisch entkoppelt,saisonale sowie Nacht- und Wochenendabschaltung nach DIN V 18599-7: 2018-09, Anhang D,Verteilung außerhalb der konditionierten Zone.Der Primärenergiebedarf für das Kühlsystem und die Kühlfunktion der raumlufttechnischen Anlage darf für Zonen der Nutzungen 1 bis 3, 8, 10, 16, 18 bis 20 und 31[*] nur zu 50 % angerechnet werden.</w:t>
      </w:r>
    </w:p>
    <w:p>
      <w:r>
        <w:rPr>
          <w:rFonts w:ascii="Courier New" w:hAnsi="Courier New"/>
          <w:sz w:val="17"/>
        </w:rPr>
        <w:t xml:space="preserve">9    Gebäudeautomation    Klasse C nach DIN V 18599-11: 2018-09</w:t>
      </w:r>
    </w:p>
    <w:p>
      <w:r>
        <w:rPr>
          <w:rFonts w:ascii="Courier New" w:hAnsi="Courier New"/>
          <w:sz w:val="17"/>
        </w:rPr>
        <w:t xml:space="preserve">* Nutzungen nach Tabelle 5 der DIN V 18599-10: 2018-09.</w:t>
      </w:r>
    </w:p>
    <w:p>
      <w:r>
        <w:rPr>
          <w:color w:val="555555"/>
          <w:sz w:val="17"/>
        </w:rPr>
        <w:t xml:space="preserve">Zitiervorschlag: Anlage 2 GEG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https://recht.nulegal.eu/gesetze/GEG/anlage-2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