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GEG — Private Nachweise</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Wer geschäftsmäßig an oder in einem bestehenden Gebäude Arbeiten durchführt, hat dem Eigentümer unverzüglich nach Abschluss der Arbeiten in folgenden Fällen schriftlich zu bestätigen, dass die von ihm geänderten oder eingebauten Bau- oder Anlagenteile den Anforderungen der in den Nummern 1 bis 10 genannten Vorschriften entsprechen (Unternehmererklärung):</w:t>
      </w:r>
    </w:p>
    <w:p>
      <w:pPr>
        <w:ind w:left="420"/>
      </w:pPr>
      <w:r>
        <w:t xml:space="preserve">1. Änderung von Außenbauteilen im Sinne von § 36,</w:t>
      </w:r>
    </w:p>
    <w:p>
      <w:pPr>
        <w:ind w:left="420"/>
      </w:pPr>
      <w:r>
        <w:t xml:space="preserve">2. Dämmung oberster Geschossdecken im Sinne von § 35 Absatz 1, auch in Verbindung mit Absatz 3,</w:t>
      </w:r>
    </w:p>
    <w:p>
      <w:pPr>
        <w:ind w:left="420"/>
      </w:pPr>
      <w:r>
        <w:t xml:space="preserve">3. Einbau von Zentralheizungen nach den §§ 61 bis 63,</w:t>
      </w:r>
    </w:p>
    <w:p>
      <w:pPr>
        <w:ind w:left="420"/>
      </w:pPr>
      <w:r>
        <w:t xml:space="preserve">4. Ausstattung von Zentralheizungen mit Regelungseinrichtungen nach den §§ 61 bis 63,</w:t>
      </w:r>
    </w:p>
    <w:p>
      <w:pPr>
        <w:ind w:left="420"/>
      </w:pPr>
      <w:r>
        <w:t xml:space="preserve">5. Einbau von Umwälzpumpen in Zentralheizungen und Zirkulationspumpen in Warmwasseranlagen nach § 64,</w:t>
      </w:r>
    </w:p>
    <w:p>
      <w:pPr>
        <w:ind w:left="420"/>
      </w:pPr>
      <w:r>
        <w:t xml:space="preserve">6. erstmaliger Einbau, Ersatz oder Wärmedämmung von Wärmeverteilungs- und Warmwasserleitungen nach § 69 oder von Kälteverteilungs- und Kaltwasserleitungen in Klimaanlagen oder sonstigen Anlagen der Raumlufttechnik nach § 70,</w:t>
      </w:r>
    </w:p>
    <w:p>
      <w:pPr>
        <w:ind w:left="420"/>
      </w:pPr>
      <w:r>
        <w:t xml:space="preserve">7. Einbau von Klima- und raumlufttechnischen Anlagen oder Zentralgeräten und Luftkanalsystemen solcher Anlagen nach den §§ 65 bis 68,</w:t>
      </w:r>
    </w:p>
    <w:p>
      <w:pPr>
        <w:ind w:left="420"/>
      </w:pPr>
      <w:r>
        <w:t xml:space="preserve">8. Ausrüstung von Anlagen nach Nummer 7 mit Einrichtung zur Feuchteregelung nach § 66,</w:t>
      </w:r>
    </w:p>
    <w:p>
      <w:pPr>
        <w:ind w:left="420"/>
      </w:pPr>
      <w:r>
        <w:t xml:space="preserve">9. Durchführung hydraulischer Abgleiche und weiterer Maßnahmen zur Heizungsoptimierung nach § 60c oder</w:t>
      </w:r>
    </w:p>
    <w:p>
      <w:pPr>
        <w:ind w:left="420"/>
      </w:pPr>
      <w:r>
        <w:t xml:space="preserve">10. Einbau von Systemen für die Gebäudeautomatisierung nach § 56.</w:t>
      </w:r>
    </w:p>
    <w:p>
      <w:r>
        <w:t xml:space="preserve">Satz 1 ist entsprechend anzuwenden auf</w:t>
      </w:r>
    </w:p>
    <w:p>
      <w:pPr>
        <w:ind w:left="420"/>
      </w:pPr>
      <w:r>
        <w:t xml:space="preserve">1. die Ergebnisse der Betriebsprüfungen von Wärmepumpen nach § 60a Absatz 5 Satz 1 und der Nachweise der durchgeführten Optimierungsmaßnahmen nach § 60a Absatz 5 Satz 2 oder</w:t>
      </w:r>
    </w:p>
    <w:p>
      <w:pPr>
        <w:ind w:left="420"/>
      </w:pPr>
      <w:r>
        <w:t xml:space="preserve">2. die Ergebnisse der Heizungsprüfungen und Heizungsoptimierungen nach § 60b Absatz 5 Satz 1 und der Nachweise der durchgeführten Optimierungsmaßnahmen nach § 60b Absatz 5 Satz 2.</w:t>
      </w:r>
    </w:p>
    <w:p>
      <w:r>
        <w:t xml:space="preserve">(2) Zum Zwecke des Nachweises der Erfüllung der Pflichten aus den in Absatz 1 genannten Vorschriften ist die Unternehmererklärung von dem Eigentümer mindestens zehn Jahre aufzubewahren. Der Eigentümer hat die Unternehmererklärung der nach Landesrecht zuständigen Behörde auf Verlangen vorzulegen.</w:t>
      </w:r>
    </w:p>
    <w:p>
      <w:r>
        <w:t xml:space="preserve">(3) In einer Unternehmererklärung nach Absatz 1 ist zusätzlich anzugeben:</w:t>
      </w:r>
    </w:p>
    <w:p>
      <w:pPr>
        <w:ind w:left="420"/>
      </w:pPr>
      <w:r>
        <w:t xml:space="preserve">1. im Falle von Arbeiten nach Absatz 1 Nummer 3 die Aufwandszahl der Zentralheizung für die Bereitstellung von Raumwärme und, soweit die Zentralheizung mit einer zentralen Warmwasserbereitung verbunden ist, auch die Aufwandszahl für die Warmwasserbereitung,</w:t>
      </w:r>
    </w:p>
    <w:p>
      <w:pPr>
        <w:ind w:left="420"/>
      </w:pPr>
      <w:r>
        <w:t xml:space="preserve">2. im Falle von Arbeiten nach Absatz 1 Nummer 7 der gewichtete Mittelwert der auf das jeweilige Fördervolumen bezogenen elektrischen Leistung aller Zu- und Abluftventilatoren sowie der Wärmerückgewinnungsgrad, soweit Anforderungen nach § 68 einzuhalten sind.</w:t>
      </w:r>
    </w:p>
    <w:p>
      <w:r>
        <w:t xml:space="preserve">Die nach Satz 1 anzugebenden Eigenschaften können nach anerkannten technischen Regeln berechnet werden oder aus Herstellerangaben auf der Grundlage solcher Regeln bestimmt werden; alternativ dürfen Angaben aus Bekanntmachungen nach § 38 Absatz 4 verwendet werden. Die jeweilige Grundlage nach Satz 2 ist ebenfalls in der Unternehmererklärung anzugeben.</w:t>
      </w:r>
    </w:p>
    <w:p>
      <w:r>
        <w:t xml:space="preserve">(4) Wer ein Gebäude geschäftsmäßig mit Biomethan, Bioöl, biogenem Flüssiggas, grünem, blauem, orangenem oder türkisem Wasserstoff einschließlich daraus hergestellter Derivate oder fester Biomasse zum Zweck der Erfüllung von Anforderungen nach diesem Gesetz beliefert, muss dem Belieferten mit der Abrechnung bestätigen, dass die jeweiligen Anforderungen nach § 43 Absatz 1 und 2 und § 45 Absatz 1 Satz 1 Nummer 2 erfüllt sind.</w:t>
      </w:r>
    </w:p>
    <w:p>
      <w:r>
        <w:t xml:space="preserve">(5) Mit den Bestätigungen nach Absatz 4 wird die Erfüllung der Pflichten aus den Vorschriften nach § 43 Absatz 1 und 2 und § 45 Absatz 1 Satz 1 Nummer 2 nachgewiesen. Im Fall der Nutzung von Biomethan, Bioöl, biogenem Flüssiggas, grünem, blauem, orangenem oder türkisem Wasserstoff einschließlich daraus hergestellter Derivate oder fester Biomasse sind die Abrechnungen und Bestätigungen in den ersten 15 Jahren nach Inbetriebnahme der Heizungsanlage von dem Eigentümer oder Belieferten jeweils mindestens fünf Jahre nach Lieferung aufzubewahren. Die Abrechnungen und Bestätigungen sind der nach Landesrecht zuständigen Behörde auf Verlangen vorzulegen.</w:t>
      </w:r>
    </w:p>
    <w:p>
      <w:r>
        <w:t xml:space="preserve">(6) Kommt bei der Ermittlung des Jahres-Primärenergiebedarfs eines zu errichtenden Gebäudes § 22 Absatz 1 Satz 1 Nummer 2 oder Nummer 3 zur Anwendung, muss sich der Eigentümer vom Lieferanten bei Vertragsabschluss bescheinigen lassen, dass</w:t>
      </w:r>
    </w:p>
    <w:p>
      <w:pPr>
        <w:ind w:left="420"/>
      </w:pPr>
      <w:r>
        <w:t xml:space="preserve">1. die vereinbarte Biomethanlieferung die Anforderungen nach § 22 Absatz 1 Satz 1 Nummer 2 Buchstabe c und d erfüllt oder</w:t>
      </w:r>
    </w:p>
    <w:p>
      <w:pPr>
        <w:ind w:left="420"/>
      </w:pPr>
      <w:r>
        <w:t xml:space="preserve">2. die vereinbarte Lieferung von biogenem Flüssiggas die Anforderungen nach § 22 Absatz 1 Satz 1 Nummer 3 Buchstabe c in der gesamten Laufzeit des Liefervertrags erfüllt.</w:t>
      </w:r>
    </w:p>
    <w:p>
      <w:r>
        <w:t xml:space="preserve">Die Bescheinigung ist der zuständigen Behörde innerhalb von einem Monat nach Fertigstellung des Gebäudes vorzulegen. Die Pflicht nach Satz 2 besteht auch, wenn der Eigentümer den Lieferanten wechselt. Die Abrechnungen der Lieferung von Biomethan oder von biogenem Flüssiggas müssen die Bestätigung des Lieferanten enthalten, dass im Fall der Lieferung von Biomethan die Anforderungen nach § 22 Absatz 1 Satz 1 Nummer 2 Buchstabe c und d oder im Fall der Lieferung von biogenem Flüssiggas die Anforderungen nach § 22 Absatz 1 Satz 1 Nummer 3 Buchstabe c im Abrechnungszeitraum erfüllt worden sind. Die Abrechnungen sind vom Eigentümer mindestens fünf Jahre ab dem Zeitpunkt der Lieferung aufzubewahren.</w:t>
      </w:r>
    </w:p>
    <w:p>
      <w:r>
        <w:rPr>
          <w:color w:val="555555"/>
          <w:sz w:val="17"/>
        </w:rPr>
        <w:t xml:space="preserve">Zitiervorschlag: § 96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